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F851F" w14:textId="2593D6FF" w:rsidR="00855D72" w:rsidRPr="00934511" w:rsidRDefault="00855D72" w:rsidP="00855D72">
      <w:pPr>
        <w:pStyle w:val="BodyCentred"/>
      </w:pPr>
      <w:r w:rsidRPr="00C01679">
        <w:rPr>
          <w:lang w:val="en-US"/>
        </w:rPr>
        <w:t>[●]</w:t>
      </w:r>
      <w:r>
        <w:rPr>
          <w:lang w:val="en-US"/>
        </w:rPr>
        <w:t xml:space="preserve"> </w:t>
      </w:r>
      <w:r w:rsidRPr="00934511">
        <w:rPr>
          <w:rFonts w:eastAsiaTheme="minorHAnsi" w:cstheme="minorBidi"/>
          <w:b/>
        </w:rPr>
        <w:t>Limited</w:t>
      </w:r>
      <w:r w:rsidRPr="00934511">
        <w:rPr>
          <w:rFonts w:eastAsiaTheme="minorHAnsi" w:cstheme="minorBidi"/>
        </w:rPr>
        <w:t xml:space="preserve"> </w:t>
      </w:r>
      <w:r w:rsidRPr="00934511">
        <w:rPr>
          <w:rFonts w:eastAsiaTheme="minorHAnsi" w:cstheme="minorBidi"/>
          <w:b/>
        </w:rPr>
        <w:t>(the "Company")</w:t>
      </w:r>
    </w:p>
    <w:p w14:paraId="08C2CD68" w14:textId="5F5F6409" w:rsidR="00855D72" w:rsidRPr="00934511" w:rsidRDefault="00855D72" w:rsidP="00855D72">
      <w:pPr>
        <w:pStyle w:val="BodyCentred"/>
      </w:pPr>
      <w:r w:rsidRPr="00934511">
        <w:rPr>
          <w:rFonts w:eastAsiaTheme="minorHAnsi" w:cstheme="minorBidi"/>
          <w:b/>
        </w:rPr>
        <w:t xml:space="preserve">(Company No. </w:t>
      </w:r>
      <w:r w:rsidRPr="00C01679">
        <w:rPr>
          <w:lang w:val="en-US"/>
        </w:rPr>
        <w:t>[●]</w:t>
      </w:r>
      <w:r w:rsidRPr="00934511">
        <w:rPr>
          <w:rFonts w:eastAsiaTheme="minorHAnsi" w:cstheme="minorBidi"/>
          <w:b/>
        </w:rPr>
        <w:t>)</w:t>
      </w:r>
    </w:p>
    <w:p w14:paraId="344ECBC6" w14:textId="618E4124" w:rsidR="00855D72" w:rsidRPr="00812FA9" w:rsidRDefault="00855D72" w:rsidP="00855D72">
      <w:pPr>
        <w:pStyle w:val="BodyList"/>
      </w:pPr>
      <w:r w:rsidRPr="00812FA9">
        <w:rPr>
          <w:rFonts w:eastAsiaTheme="minorHAnsi" w:cstheme="minorBidi"/>
        </w:rPr>
        <w:t xml:space="preserve">Minutes of a meeting of the board of directors of the Company held </w:t>
      </w:r>
      <w:r>
        <w:rPr>
          <w:rFonts w:eastAsiaTheme="minorHAnsi" w:cstheme="minorBidi"/>
        </w:rPr>
        <w:t>[</w:t>
      </w:r>
      <w:r w:rsidRPr="00812FA9">
        <w:rPr>
          <w:rFonts w:eastAsiaTheme="minorHAnsi" w:cstheme="minorBidi"/>
        </w:rPr>
        <w:t>at</w:t>
      </w:r>
      <w:r>
        <w:rPr>
          <w:rFonts w:eastAsiaTheme="minorHAnsi" w:cstheme="minorBidi"/>
        </w:rPr>
        <w:t xml:space="preserve"> the Company's registered address] </w:t>
      </w:r>
      <w:r w:rsidRPr="00EA4AAE">
        <w:rPr>
          <w:b/>
          <w:bCs/>
        </w:rPr>
        <w:t>OR</w:t>
      </w:r>
      <w:r>
        <w:t xml:space="preserve"> [by telephone] </w:t>
      </w:r>
      <w:r w:rsidRPr="00812FA9">
        <w:rPr>
          <w:rFonts w:eastAsiaTheme="minorHAnsi" w:cstheme="minorBidi"/>
        </w:rPr>
        <w:t>on</w:t>
      </w:r>
      <w:r>
        <w:t>_________________________</w:t>
      </w:r>
      <w:r w:rsidRPr="00812FA9">
        <w:rPr>
          <w:rFonts w:eastAsiaTheme="minorHAnsi" w:cstheme="minorBidi"/>
        </w:rPr>
        <w:t>20</w:t>
      </w:r>
      <w:r>
        <w:rPr>
          <w:rFonts w:eastAsiaTheme="minorHAnsi" w:cstheme="minorBidi"/>
        </w:rPr>
        <w:t>[25]</w:t>
      </w:r>
      <w:r w:rsidRPr="00812FA9">
        <w:rPr>
          <w:rFonts w:eastAsiaTheme="minorHAnsi" w:cstheme="minorBidi"/>
        </w:rPr>
        <w:t xml:space="preserve"> at</w:t>
      </w:r>
      <w:r>
        <w:rPr>
          <w:rFonts w:eastAsiaTheme="minorHAnsi" w:cstheme="minorBidi"/>
        </w:rPr>
        <w:t xml:space="preserve"> ______________ </w:t>
      </w:r>
      <w:r w:rsidRPr="00812FA9">
        <w:rPr>
          <w:rFonts w:eastAsiaTheme="minorHAnsi" w:cstheme="minorBidi"/>
        </w:rPr>
        <w:t>am/pm.</w:t>
      </w:r>
    </w:p>
    <w:p w14:paraId="4DEC3F39" w14:textId="77777777" w:rsidR="00855D72" w:rsidRPr="00934511" w:rsidRDefault="00855D72" w:rsidP="00855D72">
      <w:pPr>
        <w:pStyle w:val="BodyList"/>
      </w:pPr>
    </w:p>
    <w:tbl>
      <w:tblPr>
        <w:tblW w:w="0" w:type="auto"/>
        <w:tblLook w:val="01E0" w:firstRow="1" w:lastRow="1" w:firstColumn="1" w:lastColumn="1" w:noHBand="0" w:noVBand="0"/>
      </w:tblPr>
      <w:tblGrid>
        <w:gridCol w:w="2271"/>
        <w:gridCol w:w="3024"/>
      </w:tblGrid>
      <w:tr w:rsidR="00855D72" w:rsidRPr="00934511" w14:paraId="67D44C84" w14:textId="77777777" w:rsidTr="00342D72">
        <w:tc>
          <w:tcPr>
            <w:tcW w:w="2271" w:type="dxa"/>
          </w:tcPr>
          <w:p w14:paraId="7B4254CE" w14:textId="77777777" w:rsidR="00855D72" w:rsidRPr="00934511" w:rsidRDefault="00855D72" w:rsidP="00342D72">
            <w:pPr>
              <w:rPr>
                <w:szCs w:val="22"/>
              </w:rPr>
            </w:pPr>
            <w:r w:rsidRPr="00934511">
              <w:rPr>
                <w:b/>
                <w:szCs w:val="22"/>
              </w:rPr>
              <w:t>Present:</w:t>
            </w:r>
          </w:p>
        </w:tc>
        <w:tc>
          <w:tcPr>
            <w:tcW w:w="3024" w:type="dxa"/>
          </w:tcPr>
          <w:p w14:paraId="3ABC60A4" w14:textId="77777777" w:rsidR="00855D72" w:rsidRPr="00934511" w:rsidRDefault="00855D72" w:rsidP="00342D72">
            <w:pPr>
              <w:rPr>
                <w:szCs w:val="22"/>
              </w:rPr>
            </w:pPr>
            <w:r w:rsidRPr="00934511">
              <w:rPr>
                <w:b/>
                <w:szCs w:val="22"/>
              </w:rPr>
              <w:t>Name</w:t>
            </w:r>
          </w:p>
        </w:tc>
      </w:tr>
      <w:tr w:rsidR="00855D72" w:rsidRPr="00934511" w14:paraId="360830D9" w14:textId="77777777" w:rsidTr="00342D72">
        <w:tc>
          <w:tcPr>
            <w:tcW w:w="2271" w:type="dxa"/>
          </w:tcPr>
          <w:p w14:paraId="56885518" w14:textId="77777777" w:rsidR="00855D72" w:rsidRPr="00934511" w:rsidRDefault="00855D72" w:rsidP="00342D72">
            <w:pPr>
              <w:rPr>
                <w:szCs w:val="22"/>
              </w:rPr>
            </w:pPr>
          </w:p>
        </w:tc>
        <w:tc>
          <w:tcPr>
            <w:tcW w:w="3024" w:type="dxa"/>
          </w:tcPr>
          <w:p w14:paraId="5BAD9FC0" w14:textId="77777777" w:rsidR="00855D72" w:rsidRDefault="00855D72" w:rsidP="00342D72">
            <w:pPr>
              <w:rPr>
                <w:lang w:val="en-US"/>
              </w:rPr>
            </w:pPr>
            <w:r w:rsidRPr="00C01679">
              <w:rPr>
                <w:lang w:val="en-US"/>
              </w:rPr>
              <w:t>[●]</w:t>
            </w:r>
          </w:p>
          <w:p w14:paraId="0CA9E95A" w14:textId="77777777" w:rsidR="00855D72" w:rsidRDefault="00855D72" w:rsidP="00342D72">
            <w:pPr>
              <w:rPr>
                <w:lang w:val="en-US"/>
              </w:rPr>
            </w:pPr>
            <w:r w:rsidRPr="00C01679">
              <w:rPr>
                <w:lang w:val="en-US"/>
              </w:rPr>
              <w:t>[●]</w:t>
            </w:r>
          </w:p>
          <w:p w14:paraId="0BEC825E" w14:textId="77777777" w:rsidR="00855D72" w:rsidRDefault="00855D72" w:rsidP="00342D72">
            <w:pPr>
              <w:rPr>
                <w:lang w:val="en-US"/>
              </w:rPr>
            </w:pPr>
            <w:r w:rsidRPr="00C01679">
              <w:rPr>
                <w:lang w:val="en-US"/>
              </w:rPr>
              <w:t>[●]</w:t>
            </w:r>
          </w:p>
          <w:p w14:paraId="061385FF" w14:textId="0B521862" w:rsidR="00855D72" w:rsidRPr="00934511" w:rsidRDefault="00855D72" w:rsidP="00342D72">
            <w:pPr>
              <w:rPr>
                <w:szCs w:val="22"/>
              </w:rPr>
            </w:pPr>
            <w:r w:rsidRPr="00C01679">
              <w:rPr>
                <w:lang w:val="en-US"/>
              </w:rPr>
              <w:t>[●]</w:t>
            </w:r>
          </w:p>
        </w:tc>
      </w:tr>
    </w:tbl>
    <w:p w14:paraId="5D74E52D" w14:textId="77777777" w:rsidR="00866831" w:rsidRDefault="00866831" w:rsidP="009D04DD">
      <w:pPr>
        <w:pStyle w:val="DescriptiveHeading"/>
      </w:pPr>
    </w:p>
    <w:p w14:paraId="6888DF5D" w14:textId="77777777" w:rsidR="00866831" w:rsidRDefault="00866831" w:rsidP="009D04DD">
      <w:pPr>
        <w:pStyle w:val="TitleClause"/>
      </w:pPr>
      <w:bookmarkStart w:id="0" w:name="a400226"/>
      <w:r>
        <w:t>Chairperson</w:t>
      </w:r>
      <w:bookmarkEnd w:id="0"/>
    </w:p>
    <w:p w14:paraId="65EDE1D4" w14:textId="77777777" w:rsidR="00866831" w:rsidRDefault="00866831" w:rsidP="009D04DD">
      <w:pPr>
        <w:pStyle w:val="NoNumUntitledsubclause1"/>
      </w:pPr>
      <w:bookmarkStart w:id="1" w:name="a545796"/>
      <w:r>
        <w:t>[NAME] was appointed chairperson of the meeting [and chaired the meeting throughout].</w:t>
      </w:r>
      <w:bookmarkEnd w:id="1"/>
    </w:p>
    <w:p w14:paraId="71FD6332" w14:textId="77777777" w:rsidR="00866831" w:rsidRDefault="00866831" w:rsidP="009D04DD">
      <w:pPr>
        <w:pStyle w:val="TitleClause"/>
      </w:pPr>
      <w:bookmarkStart w:id="2" w:name="a317366"/>
      <w:r>
        <w:t>Notice and quorum</w:t>
      </w:r>
      <w:bookmarkEnd w:id="2"/>
    </w:p>
    <w:p w14:paraId="20D3658F" w14:textId="77777777" w:rsidR="00866831" w:rsidRDefault="00866831" w:rsidP="009D04DD">
      <w:pPr>
        <w:pStyle w:val="NoNumUntitledsubclause1"/>
      </w:pPr>
      <w:bookmarkStart w:id="3" w:name="a462937"/>
      <w:r>
        <w:t>The chairperson reported that due notice of the meeting had been given and that a quorum was present. Accordingly, the chairperson declared the meeting open.</w:t>
      </w:r>
      <w:bookmarkEnd w:id="3"/>
    </w:p>
    <w:p w14:paraId="68EBE41B" w14:textId="77777777" w:rsidR="00866831" w:rsidRDefault="00866831" w:rsidP="009D04DD">
      <w:pPr>
        <w:pStyle w:val="TitleClause"/>
      </w:pPr>
      <w:bookmarkStart w:id="4" w:name="a97104"/>
      <w:r>
        <w:t>Declaration of interests</w:t>
      </w:r>
      <w:bookmarkEnd w:id="4"/>
    </w:p>
    <w:p w14:paraId="3C9AD2C0" w14:textId="77777777" w:rsidR="00866831" w:rsidRDefault="00866831" w:rsidP="009D04DD">
      <w:pPr>
        <w:pStyle w:val="Untitledsubclause1"/>
      </w:pPr>
      <w:r>
        <w:fldChar w:fldCharType="begin"/>
      </w:r>
      <w:r>
        <w:fldChar w:fldCharType="end"/>
      </w:r>
      <w:bookmarkStart w:id="5" w:name="a402676"/>
      <w:r>
        <w:t xml:space="preserve">[[The following directors </w:t>
      </w:r>
      <w:r>
        <w:rPr>
          <w:b/>
        </w:rPr>
        <w:t>OR</w:t>
      </w:r>
      <w:r>
        <w:t xml:space="preserve"> Each director present] declared the nature and extent of their interest in the proposed transaction [and other arrangements] to be considered at the meeting in accordance with the requirements of section 177 of the Companies Act 2006 and the Company’s articles of association, as follows:]</w:t>
      </w:r>
      <w:bookmarkEnd w:id="5"/>
    </w:p>
    <w:tbl>
      <w:tblPr>
        <w:tblW w:w="4626" w:type="pct"/>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5670"/>
      </w:tblGrid>
      <w:tr w:rsidR="00A71A8B" w14:paraId="02EB7FC6" w14:textId="77777777" w:rsidTr="00855D72">
        <w:tc>
          <w:tcPr>
            <w:tcW w:w="1723" w:type="pct"/>
          </w:tcPr>
          <w:p w14:paraId="1A93DBA8" w14:textId="77777777" w:rsidR="00866831" w:rsidRDefault="00866831" w:rsidP="00346348">
            <w:pPr>
              <w:pStyle w:val="Paragraph"/>
              <w:jc w:val="left"/>
              <w:rPr>
                <w:b/>
              </w:rPr>
            </w:pPr>
            <w:r>
              <w:rPr>
                <w:b/>
              </w:rPr>
              <w:t>Name</w:t>
            </w:r>
          </w:p>
        </w:tc>
        <w:tc>
          <w:tcPr>
            <w:tcW w:w="3277" w:type="pct"/>
          </w:tcPr>
          <w:p w14:paraId="355E6F95" w14:textId="77777777" w:rsidR="00866831" w:rsidRDefault="00866831" w:rsidP="00346348">
            <w:pPr>
              <w:pStyle w:val="Paragraph"/>
              <w:jc w:val="left"/>
              <w:rPr>
                <w:b/>
              </w:rPr>
            </w:pPr>
            <w:r>
              <w:rPr>
                <w:b/>
              </w:rPr>
              <w:t>Nature and extent of interest</w:t>
            </w:r>
          </w:p>
        </w:tc>
      </w:tr>
      <w:tr w:rsidR="00A71A8B" w14:paraId="192B9435" w14:textId="77777777" w:rsidTr="00855D72">
        <w:tc>
          <w:tcPr>
            <w:tcW w:w="1723" w:type="pct"/>
          </w:tcPr>
          <w:p w14:paraId="1F917DD6" w14:textId="77777777" w:rsidR="00866831" w:rsidRDefault="00866831" w:rsidP="00346348">
            <w:pPr>
              <w:pStyle w:val="Paragraph"/>
              <w:jc w:val="left"/>
            </w:pPr>
            <w:r>
              <w:t>[NAME OF DIRECTOR]</w:t>
            </w:r>
          </w:p>
        </w:tc>
        <w:tc>
          <w:tcPr>
            <w:tcW w:w="3277" w:type="pct"/>
          </w:tcPr>
          <w:p w14:paraId="2B954959" w14:textId="77777777" w:rsidR="00866831" w:rsidRDefault="00866831" w:rsidP="00346348">
            <w:pPr>
              <w:pStyle w:val="Paragraph"/>
              <w:jc w:val="left"/>
            </w:pPr>
            <w:r>
              <w:t>[DESCRIPTION OF INTEREST]</w:t>
            </w:r>
          </w:p>
        </w:tc>
      </w:tr>
      <w:tr w:rsidR="00A71A8B" w14:paraId="31AC4C3E" w14:textId="77777777" w:rsidTr="00855D72">
        <w:tc>
          <w:tcPr>
            <w:tcW w:w="1723" w:type="pct"/>
          </w:tcPr>
          <w:p w14:paraId="37E1638F" w14:textId="77777777" w:rsidR="00866831" w:rsidRDefault="00866831" w:rsidP="00346348">
            <w:pPr>
              <w:pStyle w:val="Paragraph"/>
              <w:jc w:val="left"/>
            </w:pPr>
            <w:r>
              <w:t>[NAME OF DIRECTOR]</w:t>
            </w:r>
          </w:p>
        </w:tc>
        <w:tc>
          <w:tcPr>
            <w:tcW w:w="3277" w:type="pct"/>
          </w:tcPr>
          <w:p w14:paraId="5CB54887" w14:textId="77777777" w:rsidR="00866831" w:rsidRDefault="00866831" w:rsidP="00346348">
            <w:pPr>
              <w:pStyle w:val="Paragraph"/>
              <w:jc w:val="left"/>
            </w:pPr>
            <w:r>
              <w:t>[DESCRIPTION OF INTEREST]</w:t>
            </w:r>
          </w:p>
        </w:tc>
      </w:tr>
    </w:tbl>
    <w:p w14:paraId="402479FB" w14:textId="27B1ACEC" w:rsidR="00866831" w:rsidRDefault="00BB5CE1" w:rsidP="009D04DD">
      <w:pPr>
        <w:pStyle w:val="Untitledsubclause1"/>
      </w:pPr>
      <w:r>
        <w:t>[</w:t>
      </w:r>
      <w:r w:rsidR="00866831">
        <w:fldChar w:fldCharType="begin"/>
      </w:r>
      <w:r w:rsidR="00866831">
        <w:fldChar w:fldCharType="end"/>
      </w:r>
      <w:bookmarkStart w:id="6" w:name="a735569"/>
      <w:r w:rsidR="00866831">
        <w:t>Each director present confirmed that they had no direct or indirect interest in any way in the proposed transaction [and other arrangements] to be considered at the meeting which they were required by section 177 of the Companies Act 2006 and the Company’s articles of association to disclose].</w:t>
      </w:r>
      <w:bookmarkEnd w:id="6"/>
    </w:p>
    <w:p w14:paraId="5268632E" w14:textId="5FF1CECF" w:rsidR="00866831" w:rsidRDefault="00866831" w:rsidP="009D04DD">
      <w:pPr>
        <w:pStyle w:val="Untitledsubclause1"/>
      </w:pPr>
      <w:bookmarkStart w:id="7" w:name="a537447"/>
      <w:r>
        <w:t xml:space="preserve">It was noted that pursuant to article [NUMBER] of the Company's articles of association, </w:t>
      </w:r>
      <w:r w:rsidR="00BB5CE1">
        <w:t xml:space="preserve">having declared the nature of their interest, </w:t>
      </w:r>
      <w:r>
        <w:t xml:space="preserve">a director may vote and form part of the quorum in relation to any proposed transaction or arrangement in which they are interested[, subject to any restrictions imposed under article [NUMBER] of the Company’s articles of association] </w:t>
      </w:r>
      <w:r>
        <w:rPr>
          <w:b/>
        </w:rPr>
        <w:t>OR</w:t>
      </w:r>
      <w:r>
        <w:t xml:space="preserve"> the director[s] so interested would not vote or count as part of a quorum on any of the matters in which they were </w:t>
      </w:r>
      <w:r>
        <w:lastRenderedPageBreak/>
        <w:t>[respectively] interested but that, nevertheless, there would be a quorum for all items of business to be transacted by the meeting.]</w:t>
      </w:r>
      <w:bookmarkEnd w:id="7"/>
    </w:p>
    <w:p w14:paraId="09B1C31E" w14:textId="77777777" w:rsidR="00866831" w:rsidRDefault="00866831" w:rsidP="009D04DD">
      <w:pPr>
        <w:pStyle w:val="TitleClause"/>
      </w:pPr>
      <w:bookmarkStart w:id="8" w:name="a396181"/>
      <w:r>
        <w:t>Business of the meeting</w:t>
      </w:r>
      <w:bookmarkEnd w:id="8"/>
    </w:p>
    <w:p w14:paraId="0396FC7E" w14:textId="77777777" w:rsidR="00866831" w:rsidRDefault="00866831" w:rsidP="009D04DD">
      <w:pPr>
        <w:pStyle w:val="NoNumUntitledsubclause1"/>
      </w:pPr>
      <w:bookmarkStart w:id="9" w:name="a304991"/>
      <w:r>
        <w:t>The chairperson reported that the business of the meeting was to consider and, if thought fit, approve:</w:t>
      </w:r>
      <w:bookmarkEnd w:id="9"/>
    </w:p>
    <w:p w14:paraId="52610FCA" w14:textId="0A2BFABD" w:rsidR="00866831" w:rsidRDefault="00866831" w:rsidP="007D1E37">
      <w:pPr>
        <w:pStyle w:val="Untitledsubclause2"/>
      </w:pPr>
      <w:bookmarkStart w:id="10" w:name="a700200"/>
      <w:r>
        <w:t>The circulation of a written resolution to obtain certain shareholder approvals in connection with a proposed allotment of shares in the Company, namely to:</w:t>
      </w:r>
      <w:r>
        <w:fldChar w:fldCharType="begin"/>
      </w:r>
      <w:r>
        <w:instrText>MACROBUTTON optional</w:instrText>
      </w:r>
      <w:r>
        <w:fldChar w:fldCharType="end"/>
      </w:r>
      <w:bookmarkEnd w:id="10"/>
    </w:p>
    <w:p w14:paraId="70A7A40D" w14:textId="6247F51E" w:rsidR="00866831" w:rsidRDefault="00866831" w:rsidP="007D1E37">
      <w:pPr>
        <w:pStyle w:val="Untitledsubclause3"/>
      </w:pPr>
      <w:bookmarkStart w:id="11" w:name="a576889"/>
      <w:r>
        <w:t xml:space="preserve">authorise the directors to allot shares up to an aggregate nominal amount of </w:t>
      </w:r>
      <w:proofErr w:type="gramStart"/>
      <w:r>
        <w:t>£</w:t>
      </w:r>
      <w:r w:rsidR="00467000" w:rsidRPr="007D1E37">
        <w:rPr>
          <w:lang w:val="en-US"/>
        </w:rPr>
        <w:t>[</w:t>
      </w:r>
      <w:proofErr w:type="gramEnd"/>
      <w:r w:rsidR="00467000" w:rsidRPr="007D1E37">
        <w:rPr>
          <w:lang w:val="en-US"/>
        </w:rPr>
        <w:t>●]</w:t>
      </w:r>
      <w:r>
        <w:t>;</w:t>
      </w:r>
      <w:bookmarkEnd w:id="11"/>
    </w:p>
    <w:p w14:paraId="6A4D8799" w14:textId="6F927387" w:rsidR="00866831" w:rsidRDefault="00866831" w:rsidP="007D1E37">
      <w:pPr>
        <w:pStyle w:val="Untitledsubclause3"/>
      </w:pPr>
      <w:bookmarkStart w:id="12" w:name="a399352"/>
      <w:r>
        <w:t>disapply the statutory pre-emption right under section 561 of the Companies Act 2006 in relation to the proposed allotment of shares</w:t>
      </w:r>
      <w:bookmarkEnd w:id="12"/>
      <w:r w:rsidR="007D1E37">
        <w:t xml:space="preserve">; </w:t>
      </w:r>
      <w:r w:rsidR="00FE7D9C">
        <w:t>and</w:t>
      </w:r>
    </w:p>
    <w:p w14:paraId="69B72940" w14:textId="0294E982" w:rsidR="00FE7D9C" w:rsidRDefault="00FE7D9C" w:rsidP="007D1E37">
      <w:pPr>
        <w:pStyle w:val="Untitledsubclause3"/>
      </w:pPr>
      <w:r>
        <w:t>[to adopt the new articles of association (the "</w:t>
      </w:r>
      <w:r w:rsidRPr="00FE7D9C">
        <w:rPr>
          <w:b/>
          <w:bCs/>
        </w:rPr>
        <w:t>New Articles</w:t>
      </w:r>
      <w:r>
        <w:t>") in the form annexed to the Written Resolution,]</w:t>
      </w:r>
    </w:p>
    <w:p w14:paraId="3B57E29B" w14:textId="75E3AF34" w:rsidR="00866831" w:rsidRDefault="00866831" w:rsidP="007D1E37">
      <w:pPr>
        <w:pStyle w:val="Untitledsubclause2"/>
      </w:pPr>
      <w:bookmarkStart w:id="13" w:name="a795178"/>
      <w:r>
        <w:t xml:space="preserve">The proposed allotment and issue of shares to the persons referred to in </w:t>
      </w:r>
      <w:r>
        <w:fldChar w:fldCharType="begin"/>
      </w:r>
      <w:r>
        <w:instrText>PAGEREF a242789\# "'paragraph '"  \h</w:instrText>
      </w:r>
      <w:r>
        <w:fldChar w:fldCharType="separate"/>
      </w:r>
      <w:r>
        <w:t xml:space="preserve">paragraph </w:t>
      </w:r>
      <w:r>
        <w:fldChar w:fldCharType="end"/>
      </w:r>
      <w:r>
        <w:fldChar w:fldCharType="begin"/>
      </w:r>
      <w:r w:rsidRPr="007D1E37">
        <w:rPr>
          <w:highlight w:val="lightGray"/>
        </w:rPr>
        <w:instrText>REF a242789 \h \w</w:instrText>
      </w:r>
      <w:r>
        <w:fldChar w:fldCharType="separate"/>
      </w:r>
      <w:r>
        <w:t>5.1(a)</w:t>
      </w:r>
      <w:r>
        <w:fldChar w:fldCharType="end"/>
      </w:r>
      <w:r>
        <w:t xml:space="preserve"> (</w:t>
      </w:r>
      <w:r w:rsidRPr="007D1E37">
        <w:rPr>
          <w:b/>
        </w:rPr>
        <w:t>Proposed Allotment</w:t>
      </w:r>
      <w:r>
        <w:t>)</w:t>
      </w:r>
      <w:bookmarkEnd w:id="13"/>
      <w:r w:rsidR="007D1E37">
        <w:t>; and</w:t>
      </w:r>
    </w:p>
    <w:p w14:paraId="3DFFEFC3" w14:textId="09E9D39F" w:rsidR="007D1E37" w:rsidRDefault="007D1E37" w:rsidP="007D1E37">
      <w:pPr>
        <w:pStyle w:val="Untitledsubclause2"/>
      </w:pPr>
      <w:r>
        <w:t>The entry by the Company into certain documents relating to the Proposed Allotment.</w:t>
      </w:r>
    </w:p>
    <w:p w14:paraId="359D2EF9" w14:textId="77777777" w:rsidR="00866831" w:rsidRDefault="00866831" w:rsidP="009D04DD">
      <w:pPr>
        <w:pStyle w:val="TitleClause"/>
      </w:pPr>
      <w:bookmarkStart w:id="14" w:name="a915727"/>
      <w:r>
        <w:t>Documents produced to the meeting</w:t>
      </w:r>
      <w:bookmarkEnd w:id="14"/>
    </w:p>
    <w:p w14:paraId="6A1FD80D" w14:textId="77777777" w:rsidR="00866831" w:rsidRDefault="00866831" w:rsidP="009D04DD">
      <w:pPr>
        <w:pStyle w:val="Untitledsubclause1"/>
      </w:pPr>
      <w:bookmarkStart w:id="15" w:name="a712319"/>
      <w:r>
        <w:t>The following documents were produced to the meeting:</w:t>
      </w:r>
      <w:bookmarkEnd w:id="15"/>
    </w:p>
    <w:p w14:paraId="62B06381" w14:textId="36B98C31" w:rsidR="00866831" w:rsidRDefault="00866831" w:rsidP="009D04DD">
      <w:pPr>
        <w:pStyle w:val="Untitledsubclause2"/>
      </w:pPr>
      <w:bookmarkStart w:id="16" w:name="a242789"/>
      <w:r>
        <w:t xml:space="preserve">applications by the persons listed below </w:t>
      </w:r>
      <w:r w:rsidR="00691BC0">
        <w:t xml:space="preserve">(the </w:t>
      </w:r>
      <w:r w:rsidR="00691BC0" w:rsidRPr="00691BC0">
        <w:t>"</w:t>
      </w:r>
      <w:r w:rsidR="00F372EA">
        <w:rPr>
          <w:b/>
          <w:bCs/>
        </w:rPr>
        <w:t>Investors</w:t>
      </w:r>
      <w:r w:rsidR="00691BC0" w:rsidRPr="00691BC0">
        <w:t>")</w:t>
      </w:r>
      <w:r w:rsidR="00691BC0">
        <w:rPr>
          <w:b/>
          <w:bCs/>
        </w:rPr>
        <w:t xml:space="preserve"> </w:t>
      </w:r>
      <w:r>
        <w:t>for the allotment and issue to them of the number and class of shares in the capital of the Company set out against their respective names:</w:t>
      </w:r>
      <w:bookmarkEnd w:id="16"/>
    </w:p>
    <w:tbl>
      <w:tblPr>
        <w:tblW w:w="4474" w:type="pct"/>
        <w:tblInd w:w="9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31"/>
        <w:gridCol w:w="3114"/>
        <w:gridCol w:w="3112"/>
      </w:tblGrid>
      <w:tr w:rsidR="00A71A8B" w14:paraId="294DABA8" w14:textId="77777777" w:rsidTr="00691BC0">
        <w:tc>
          <w:tcPr>
            <w:tcW w:w="1275" w:type="pct"/>
            <w:tcBorders>
              <w:top w:val="single" w:sz="8" w:space="0" w:color="000000"/>
              <w:left w:val="single" w:sz="8" w:space="0" w:color="000000"/>
              <w:bottom w:val="single" w:sz="8" w:space="0" w:color="000000"/>
              <w:right w:val="single" w:sz="8" w:space="0" w:color="000000"/>
            </w:tcBorders>
          </w:tcPr>
          <w:p w14:paraId="23E64493" w14:textId="77777777" w:rsidR="00866831" w:rsidRDefault="00866831" w:rsidP="00346348">
            <w:pPr>
              <w:pStyle w:val="Paragraph"/>
              <w:jc w:val="left"/>
              <w:rPr>
                <w:b/>
              </w:rPr>
            </w:pPr>
            <w:r>
              <w:rPr>
                <w:b/>
              </w:rPr>
              <w:t>Name of applicant</w:t>
            </w:r>
          </w:p>
        </w:tc>
        <w:tc>
          <w:tcPr>
            <w:tcW w:w="1863" w:type="pct"/>
            <w:tcBorders>
              <w:top w:val="single" w:sz="8" w:space="0" w:color="000000"/>
              <w:left w:val="single" w:sz="8" w:space="0" w:color="000000"/>
              <w:bottom w:val="single" w:sz="8" w:space="0" w:color="000000"/>
              <w:right w:val="single" w:sz="8" w:space="0" w:color="000000"/>
            </w:tcBorders>
          </w:tcPr>
          <w:p w14:paraId="53E186C8" w14:textId="77777777" w:rsidR="00866831" w:rsidRDefault="00866831" w:rsidP="00346348">
            <w:pPr>
              <w:pStyle w:val="Paragraph"/>
              <w:jc w:val="left"/>
              <w:rPr>
                <w:b/>
              </w:rPr>
            </w:pPr>
            <w:r>
              <w:rPr>
                <w:b/>
              </w:rPr>
              <w:t>Number of [ordinary] shares of £[AMOUNT] each</w:t>
            </w:r>
          </w:p>
        </w:tc>
        <w:tc>
          <w:tcPr>
            <w:tcW w:w="1862" w:type="pct"/>
            <w:tcBorders>
              <w:top w:val="single" w:sz="8" w:space="0" w:color="000000"/>
              <w:left w:val="single" w:sz="8" w:space="0" w:color="000000"/>
              <w:bottom w:val="single" w:sz="8" w:space="0" w:color="000000"/>
              <w:right w:val="single" w:sz="8" w:space="0" w:color="000000"/>
            </w:tcBorders>
          </w:tcPr>
          <w:p w14:paraId="0DFC7629" w14:textId="77777777" w:rsidR="00866831" w:rsidRDefault="00866831" w:rsidP="00346348">
            <w:pPr>
              <w:pStyle w:val="Paragraph"/>
              <w:jc w:val="left"/>
              <w:rPr>
                <w:b/>
              </w:rPr>
            </w:pPr>
            <w:r>
              <w:rPr>
                <w:b/>
              </w:rPr>
              <w:t>Aggregate subscription monies (£)</w:t>
            </w:r>
          </w:p>
        </w:tc>
      </w:tr>
      <w:tr w:rsidR="00A71A8B" w14:paraId="4CAE1D91" w14:textId="77777777" w:rsidTr="00691BC0">
        <w:tc>
          <w:tcPr>
            <w:tcW w:w="1275" w:type="pct"/>
            <w:tcBorders>
              <w:top w:val="single" w:sz="8" w:space="0" w:color="000000"/>
              <w:left w:val="single" w:sz="8" w:space="0" w:color="000000"/>
              <w:bottom w:val="single" w:sz="8" w:space="0" w:color="000000"/>
              <w:right w:val="single" w:sz="8" w:space="0" w:color="000000"/>
            </w:tcBorders>
          </w:tcPr>
          <w:p w14:paraId="23BF1EAE" w14:textId="77777777" w:rsidR="00866831" w:rsidRDefault="00866831" w:rsidP="00346348">
            <w:pPr>
              <w:pStyle w:val="Paragraph"/>
              <w:jc w:val="left"/>
            </w:pPr>
            <w:r>
              <w:t>[NAME]</w:t>
            </w:r>
          </w:p>
        </w:tc>
        <w:tc>
          <w:tcPr>
            <w:tcW w:w="1863" w:type="pct"/>
            <w:tcBorders>
              <w:top w:val="single" w:sz="8" w:space="0" w:color="000000"/>
              <w:left w:val="single" w:sz="8" w:space="0" w:color="000000"/>
              <w:bottom w:val="single" w:sz="8" w:space="0" w:color="000000"/>
              <w:right w:val="single" w:sz="8" w:space="0" w:color="000000"/>
            </w:tcBorders>
          </w:tcPr>
          <w:p w14:paraId="7608BA19" w14:textId="77777777" w:rsidR="00866831" w:rsidRDefault="00866831" w:rsidP="00346348">
            <w:pPr>
              <w:pStyle w:val="Paragraph"/>
              <w:jc w:val="left"/>
            </w:pPr>
            <w:r>
              <w:t>[NUMBER]</w:t>
            </w:r>
          </w:p>
        </w:tc>
        <w:tc>
          <w:tcPr>
            <w:tcW w:w="1862" w:type="pct"/>
            <w:tcBorders>
              <w:top w:val="single" w:sz="8" w:space="0" w:color="000000"/>
              <w:left w:val="single" w:sz="8" w:space="0" w:color="000000"/>
              <w:bottom w:val="single" w:sz="8" w:space="0" w:color="000000"/>
              <w:right w:val="single" w:sz="8" w:space="0" w:color="000000"/>
            </w:tcBorders>
          </w:tcPr>
          <w:p w14:paraId="47D83676" w14:textId="77777777" w:rsidR="00866831" w:rsidRDefault="00866831" w:rsidP="00346348">
            <w:pPr>
              <w:pStyle w:val="Paragraph"/>
              <w:jc w:val="left"/>
            </w:pPr>
            <w:r>
              <w:t>[AMOUNT]</w:t>
            </w:r>
          </w:p>
        </w:tc>
      </w:tr>
      <w:tr w:rsidR="00A71A8B" w14:paraId="4C8E1899" w14:textId="77777777" w:rsidTr="00691BC0">
        <w:tc>
          <w:tcPr>
            <w:tcW w:w="1275" w:type="pct"/>
            <w:tcBorders>
              <w:top w:val="single" w:sz="8" w:space="0" w:color="000000"/>
              <w:left w:val="single" w:sz="8" w:space="0" w:color="000000"/>
              <w:bottom w:val="single" w:sz="8" w:space="0" w:color="000000"/>
              <w:right w:val="single" w:sz="8" w:space="0" w:color="000000"/>
            </w:tcBorders>
          </w:tcPr>
          <w:p w14:paraId="4EB10F34" w14:textId="77777777" w:rsidR="00866831" w:rsidRDefault="00866831" w:rsidP="00346348">
            <w:pPr>
              <w:pStyle w:val="Paragraph"/>
              <w:jc w:val="left"/>
            </w:pPr>
            <w:r>
              <w:t>[NAME]</w:t>
            </w:r>
          </w:p>
        </w:tc>
        <w:tc>
          <w:tcPr>
            <w:tcW w:w="1863" w:type="pct"/>
            <w:tcBorders>
              <w:top w:val="single" w:sz="8" w:space="0" w:color="000000"/>
              <w:left w:val="single" w:sz="8" w:space="0" w:color="000000"/>
              <w:bottom w:val="single" w:sz="8" w:space="0" w:color="000000"/>
              <w:right w:val="single" w:sz="8" w:space="0" w:color="000000"/>
            </w:tcBorders>
          </w:tcPr>
          <w:p w14:paraId="79A11B53" w14:textId="77777777" w:rsidR="00866831" w:rsidRDefault="00866831" w:rsidP="00346348">
            <w:pPr>
              <w:pStyle w:val="Paragraph"/>
              <w:jc w:val="left"/>
            </w:pPr>
            <w:r>
              <w:t>[NUMBER]</w:t>
            </w:r>
          </w:p>
        </w:tc>
        <w:tc>
          <w:tcPr>
            <w:tcW w:w="1862" w:type="pct"/>
            <w:tcBorders>
              <w:top w:val="single" w:sz="8" w:space="0" w:color="000000"/>
              <w:left w:val="single" w:sz="8" w:space="0" w:color="000000"/>
              <w:bottom w:val="single" w:sz="8" w:space="0" w:color="000000"/>
              <w:right w:val="single" w:sz="8" w:space="0" w:color="000000"/>
            </w:tcBorders>
          </w:tcPr>
          <w:p w14:paraId="34A22C66" w14:textId="77777777" w:rsidR="00866831" w:rsidRDefault="00866831" w:rsidP="00346348">
            <w:pPr>
              <w:pStyle w:val="Paragraph"/>
              <w:jc w:val="left"/>
            </w:pPr>
            <w:r>
              <w:t>[AMOUNT]</w:t>
            </w:r>
          </w:p>
        </w:tc>
      </w:tr>
      <w:tr w:rsidR="00A71A8B" w14:paraId="692316A9" w14:textId="77777777" w:rsidTr="00691BC0">
        <w:tc>
          <w:tcPr>
            <w:tcW w:w="1275" w:type="pct"/>
            <w:tcBorders>
              <w:top w:val="single" w:sz="8" w:space="0" w:color="000000"/>
              <w:left w:val="single" w:sz="8" w:space="0" w:color="000000"/>
              <w:bottom w:val="single" w:sz="8" w:space="0" w:color="000000"/>
              <w:right w:val="single" w:sz="8" w:space="0" w:color="000000"/>
            </w:tcBorders>
          </w:tcPr>
          <w:p w14:paraId="025293BB" w14:textId="77777777" w:rsidR="00866831" w:rsidRDefault="00866831" w:rsidP="00346348">
            <w:pPr>
              <w:pStyle w:val="Paragraph"/>
              <w:jc w:val="left"/>
            </w:pPr>
            <w:r>
              <w:t>[NAME]</w:t>
            </w:r>
          </w:p>
        </w:tc>
        <w:tc>
          <w:tcPr>
            <w:tcW w:w="1863" w:type="pct"/>
            <w:tcBorders>
              <w:top w:val="single" w:sz="8" w:space="0" w:color="000000"/>
              <w:left w:val="single" w:sz="8" w:space="0" w:color="000000"/>
              <w:bottom w:val="single" w:sz="8" w:space="0" w:color="000000"/>
              <w:right w:val="single" w:sz="8" w:space="0" w:color="000000"/>
            </w:tcBorders>
          </w:tcPr>
          <w:p w14:paraId="34FA20DC" w14:textId="77777777" w:rsidR="00866831" w:rsidRDefault="00866831" w:rsidP="00346348">
            <w:pPr>
              <w:pStyle w:val="Paragraph"/>
              <w:jc w:val="left"/>
            </w:pPr>
            <w:r>
              <w:t>[NUMBER]</w:t>
            </w:r>
          </w:p>
        </w:tc>
        <w:tc>
          <w:tcPr>
            <w:tcW w:w="1862" w:type="pct"/>
            <w:tcBorders>
              <w:top w:val="single" w:sz="8" w:space="0" w:color="000000"/>
              <w:left w:val="single" w:sz="8" w:space="0" w:color="000000"/>
              <w:bottom w:val="single" w:sz="8" w:space="0" w:color="000000"/>
              <w:right w:val="single" w:sz="8" w:space="0" w:color="000000"/>
            </w:tcBorders>
          </w:tcPr>
          <w:p w14:paraId="7ACB6D0A" w14:textId="77777777" w:rsidR="00866831" w:rsidRDefault="00866831" w:rsidP="00346348">
            <w:pPr>
              <w:pStyle w:val="Paragraph"/>
              <w:jc w:val="left"/>
            </w:pPr>
            <w:r>
              <w:t>[AMOUNT]</w:t>
            </w:r>
          </w:p>
        </w:tc>
      </w:tr>
    </w:tbl>
    <w:p w14:paraId="02293F52" w14:textId="66ECDD0F" w:rsidR="00866831" w:rsidRDefault="00866831" w:rsidP="009D04DD">
      <w:pPr>
        <w:pStyle w:val="Untitledsubclause2"/>
      </w:pPr>
      <w:bookmarkStart w:id="17" w:name="a637998"/>
      <w:r>
        <w:t>a form of written resolution of the members of the Company (</w:t>
      </w:r>
      <w:r w:rsidR="00691BC0">
        <w:t>the "</w:t>
      </w:r>
      <w:r>
        <w:rPr>
          <w:rStyle w:val="DefTerm"/>
        </w:rPr>
        <w:t>Written Resolution</w:t>
      </w:r>
      <w:r w:rsidR="00691BC0" w:rsidRPr="00691BC0">
        <w:rPr>
          <w:rStyle w:val="DefTerm"/>
          <w:b w:val="0"/>
          <w:bCs/>
        </w:rPr>
        <w:t>"</w:t>
      </w:r>
      <w:r>
        <w:t xml:space="preserve">) to grant the directors a general and unconditional authority under section 551 of the Companies Act 2006 to allot shares in the Company up to an aggregate nominal amount of </w:t>
      </w:r>
      <w:proofErr w:type="gramStart"/>
      <w:r>
        <w:t>£</w:t>
      </w:r>
      <w:r w:rsidR="00467000" w:rsidRPr="00C01679">
        <w:rPr>
          <w:lang w:val="en-US"/>
        </w:rPr>
        <w:t>[</w:t>
      </w:r>
      <w:proofErr w:type="gramEnd"/>
      <w:r w:rsidR="00467000" w:rsidRPr="00C01679">
        <w:rPr>
          <w:lang w:val="en-US"/>
        </w:rPr>
        <w:t>●</w:t>
      </w:r>
      <w:r>
        <w:t>] and to empower the directors to allot such shares pursuant to that authority as if section 561(1) of the Companies Act 2006 did not apply to relevant allotment.</w:t>
      </w:r>
      <w:bookmarkEnd w:id="17"/>
    </w:p>
    <w:p w14:paraId="0536F083" w14:textId="3687DAE2" w:rsidR="00691BC0" w:rsidRDefault="00691BC0" w:rsidP="009D04DD">
      <w:pPr>
        <w:pStyle w:val="Untitledsubclause2"/>
      </w:pPr>
      <w:r>
        <w:t xml:space="preserve">a </w:t>
      </w:r>
      <w:r w:rsidR="005354B7">
        <w:t xml:space="preserve">subscription and </w:t>
      </w:r>
      <w:r>
        <w:t xml:space="preserve">shareholders' agreement to be entered into between, among others, (1) the Company and (2) the </w:t>
      </w:r>
      <w:proofErr w:type="gramStart"/>
      <w:r w:rsidR="005354B7">
        <w:t>Investors</w:t>
      </w:r>
      <w:r>
        <w:t>;</w:t>
      </w:r>
      <w:proofErr w:type="gramEnd"/>
    </w:p>
    <w:p w14:paraId="4E069D23" w14:textId="18C88847" w:rsidR="00691BC0" w:rsidRDefault="00691BC0" w:rsidP="009D04DD">
      <w:pPr>
        <w:pStyle w:val="Untitledsubclause2"/>
      </w:pPr>
      <w:r>
        <w:lastRenderedPageBreak/>
        <w:t xml:space="preserve">an advanced subscription agreement to be entered into between </w:t>
      </w:r>
      <w:r w:rsidR="00FE7D9C">
        <w:t>(1) the Company and (2) the Subscriber</w:t>
      </w:r>
      <w:r w:rsidR="00B15D0C">
        <w:t xml:space="preserve"> (as defined therein)</w:t>
      </w:r>
      <w:r w:rsidR="00FE7D9C">
        <w:t xml:space="preserve"> (the "</w:t>
      </w:r>
      <w:r w:rsidR="00FE7D9C" w:rsidRPr="00FE7D9C">
        <w:rPr>
          <w:b/>
          <w:bCs/>
        </w:rPr>
        <w:t>ASA</w:t>
      </w:r>
      <w:r w:rsidR="00FE7D9C">
        <w:t>"</w:t>
      </w:r>
      <w:proofErr w:type="gramStart"/>
      <w:r w:rsidR="00FE7D9C">
        <w:t>);</w:t>
      </w:r>
      <w:proofErr w:type="gramEnd"/>
    </w:p>
    <w:p w14:paraId="16EA83AA" w14:textId="31A9CC1D" w:rsidR="00FE7D9C" w:rsidRDefault="00FE7D9C" w:rsidP="009D04DD">
      <w:pPr>
        <w:pStyle w:val="Untitledsubclause2"/>
      </w:pPr>
      <w:r>
        <w:t xml:space="preserve">a disclosure letter detailing matters disclosed against the warranties contained in the </w:t>
      </w:r>
      <w:proofErr w:type="gramStart"/>
      <w:r w:rsidR="005354B7">
        <w:t>SSA</w:t>
      </w:r>
      <w:r>
        <w:t>;</w:t>
      </w:r>
      <w:proofErr w:type="gramEnd"/>
    </w:p>
    <w:p w14:paraId="53F3B210" w14:textId="31329FE1" w:rsidR="00FE7D9C" w:rsidRDefault="00FE7D9C" w:rsidP="009D04DD">
      <w:pPr>
        <w:pStyle w:val="Untitledsubclause2"/>
      </w:pPr>
      <w:r>
        <w:t>[the New Articles;] [and]</w:t>
      </w:r>
    </w:p>
    <w:p w14:paraId="0D02AF91" w14:textId="0342DFA2" w:rsidR="00FE7D9C" w:rsidRDefault="00FE7D9C" w:rsidP="009D04DD">
      <w:pPr>
        <w:pStyle w:val="Untitledsubclause2"/>
      </w:pPr>
      <w:r>
        <w:t xml:space="preserve">[the director's service agreement to be entered into between (1) the Company and (2) </w:t>
      </w:r>
      <w:r w:rsidRPr="00C01679">
        <w:rPr>
          <w:lang w:val="en-US"/>
        </w:rPr>
        <w:t>[●</w:t>
      </w:r>
      <w:r>
        <w:t>]],</w:t>
      </w:r>
    </w:p>
    <w:p w14:paraId="461E364A" w14:textId="75E84453" w:rsidR="00FE7D9C" w:rsidRDefault="00FE7D9C" w:rsidP="00FE7D9C">
      <w:pPr>
        <w:pStyle w:val="Untitledsubclause2"/>
        <w:numPr>
          <w:ilvl w:val="0"/>
          <w:numId w:val="0"/>
        </w:numPr>
        <w:ind w:left="1555" w:hanging="561"/>
      </w:pPr>
      <w:r>
        <w:t>(</w:t>
      </w:r>
      <w:r w:rsidR="004301F7">
        <w:t xml:space="preserve">(c) – (g) </w:t>
      </w:r>
      <w:r>
        <w:t xml:space="preserve">together, the </w:t>
      </w:r>
      <w:r w:rsidR="004301F7">
        <w:t>"</w:t>
      </w:r>
      <w:r w:rsidRPr="004301F7">
        <w:rPr>
          <w:b/>
          <w:bCs/>
        </w:rPr>
        <w:t>Documents</w:t>
      </w:r>
      <w:r w:rsidR="004301F7">
        <w:t>")</w:t>
      </w:r>
    </w:p>
    <w:p w14:paraId="036ECBD0" w14:textId="77777777" w:rsidR="00866831" w:rsidRDefault="00866831" w:rsidP="009D04DD">
      <w:pPr>
        <w:pStyle w:val="Untitledsubclause1"/>
      </w:pPr>
      <w:bookmarkStart w:id="18" w:name="a520224"/>
      <w:r w:rsidRPr="00467000">
        <w:rPr>
          <w:b/>
          <w:bCs/>
        </w:rPr>
        <w:t>IT WAS REPORTED</w:t>
      </w:r>
      <w:r>
        <w:t xml:space="preserve"> that the Company had received payment in full of the subscription monies payable by each applicant in respect of the shares set out against their respective names in </w:t>
      </w:r>
      <w:r>
        <w:fldChar w:fldCharType="begin"/>
      </w:r>
      <w:r>
        <w:instrText>PAGEREF a242789\# "'paragraph '"  \h</w:instrText>
      </w:r>
      <w:r>
        <w:fldChar w:fldCharType="separate"/>
      </w:r>
      <w:r>
        <w:t xml:space="preserve">paragraph </w:t>
      </w:r>
      <w:r>
        <w:fldChar w:fldCharType="end"/>
      </w:r>
      <w:r>
        <w:fldChar w:fldCharType="begin"/>
      </w:r>
      <w:r>
        <w:rPr>
          <w:highlight w:val="lightGray"/>
        </w:rPr>
        <w:instrText>REF a242789 \h \w</w:instrText>
      </w:r>
      <w:r>
        <w:fldChar w:fldCharType="separate"/>
      </w:r>
      <w:r>
        <w:t>5.1(a)</w:t>
      </w:r>
      <w:r>
        <w:fldChar w:fldCharType="end"/>
      </w:r>
      <w:r>
        <w:t xml:space="preserve"> above.</w:t>
      </w:r>
      <w:bookmarkEnd w:id="18"/>
    </w:p>
    <w:p w14:paraId="4C8DA5AF" w14:textId="23286EBF" w:rsidR="00866831" w:rsidRDefault="00866831" w:rsidP="009D04DD">
      <w:pPr>
        <w:pStyle w:val="TitleClause"/>
      </w:pPr>
      <w:r>
        <w:fldChar w:fldCharType="begin"/>
      </w:r>
      <w:r>
        <w:fldChar w:fldCharType="end"/>
      </w:r>
      <w:bookmarkStart w:id="19" w:name="a832157"/>
      <w:r>
        <w:t>Approval and circulation of written resolution</w:t>
      </w:r>
      <w:bookmarkEnd w:id="19"/>
    </w:p>
    <w:p w14:paraId="711A011B" w14:textId="2159B792" w:rsidR="00866831" w:rsidRDefault="00866831" w:rsidP="009D04DD">
      <w:pPr>
        <w:pStyle w:val="Untitledsubclause1"/>
      </w:pPr>
      <w:bookmarkStart w:id="20" w:name="a717157"/>
      <w:r>
        <w:t xml:space="preserve">After careful consideration of the Written Resolution, including consideration of the matters referred to in section 172(1) of the Companies Act 2006, </w:t>
      </w:r>
      <w:r w:rsidRPr="00467000">
        <w:rPr>
          <w:b/>
          <w:bCs/>
        </w:rPr>
        <w:t>IT WAS RESOLVED</w:t>
      </w:r>
      <w:r>
        <w:t>:</w:t>
      </w:r>
      <w:bookmarkEnd w:id="20"/>
    </w:p>
    <w:p w14:paraId="0DA951DD" w14:textId="77777777" w:rsidR="00866831" w:rsidRDefault="00866831" w:rsidP="009D04DD">
      <w:pPr>
        <w:pStyle w:val="Untitledsubclause2"/>
      </w:pPr>
      <w:bookmarkStart w:id="21" w:name="a634298"/>
      <w:r>
        <w:t xml:space="preserve">that the Written Resolution would promote the success of the Company for the benefit of its members as a </w:t>
      </w:r>
      <w:proofErr w:type="gramStart"/>
      <w:r>
        <w:t>whole;</w:t>
      </w:r>
      <w:bookmarkEnd w:id="21"/>
      <w:proofErr w:type="gramEnd"/>
    </w:p>
    <w:p w14:paraId="33B631E0" w14:textId="77777777" w:rsidR="00866831" w:rsidRDefault="00866831" w:rsidP="009D04DD">
      <w:pPr>
        <w:pStyle w:val="Untitledsubclause2"/>
      </w:pPr>
      <w:bookmarkStart w:id="22" w:name="a414035"/>
      <w:r>
        <w:t>to approve the Written Resolution in the form produced to the meeting; and</w:t>
      </w:r>
      <w:bookmarkEnd w:id="22"/>
    </w:p>
    <w:p w14:paraId="6FA426C1" w14:textId="09E42912" w:rsidR="00866831" w:rsidRDefault="00866831" w:rsidP="009D04DD">
      <w:pPr>
        <w:pStyle w:val="Untitledsubclause2"/>
      </w:pPr>
      <w:bookmarkStart w:id="23" w:name="a809244"/>
      <w:r>
        <w:t>to send the Written Resolution to every eligible member of the Company.</w:t>
      </w:r>
      <w:bookmarkEnd w:id="23"/>
    </w:p>
    <w:p w14:paraId="076FA5CA" w14:textId="1563B0AE" w:rsidR="00866831" w:rsidRDefault="00866831" w:rsidP="009D04DD">
      <w:pPr>
        <w:pStyle w:val="Untitledsubclause1"/>
      </w:pPr>
      <w:bookmarkStart w:id="24" w:name="a623616"/>
      <w:r>
        <w:t xml:space="preserve">The meeting was adjourned so that the Written Resolution could be submitted to the members of the Company. </w:t>
      </w:r>
      <w:r w:rsidR="00467000">
        <w:t>When the</w:t>
      </w:r>
      <w:r>
        <w:t xml:space="preserve"> meeting reconvened</w:t>
      </w:r>
      <w:r w:rsidR="00467000">
        <w:t xml:space="preserve">, </w:t>
      </w:r>
      <w:r>
        <w:t>the chairperson reported that the Written Resolution had been passed.</w:t>
      </w:r>
      <w:bookmarkEnd w:id="24"/>
    </w:p>
    <w:p w14:paraId="6137EA9B" w14:textId="77777777" w:rsidR="00866831" w:rsidRDefault="00866831" w:rsidP="009D04DD">
      <w:pPr>
        <w:pStyle w:val="TitleClause"/>
      </w:pPr>
      <w:bookmarkStart w:id="25" w:name="a528215"/>
      <w:r>
        <w:t>Allotment and issue of shares</w:t>
      </w:r>
      <w:bookmarkEnd w:id="25"/>
    </w:p>
    <w:p w14:paraId="39302D4D" w14:textId="2C7DC1ED" w:rsidR="00866831" w:rsidRDefault="00866831" w:rsidP="009D04DD">
      <w:pPr>
        <w:pStyle w:val="Untitledsubclause1"/>
      </w:pPr>
      <w:r>
        <w:fldChar w:fldCharType="begin"/>
      </w:r>
      <w:r>
        <w:fldChar w:fldCharType="end"/>
      </w:r>
      <w:bookmarkStart w:id="26" w:name="a1049205"/>
      <w:r w:rsidRPr="00467000">
        <w:rPr>
          <w:b/>
          <w:bCs/>
        </w:rPr>
        <w:t>IT WAS NOTED</w:t>
      </w:r>
      <w:r>
        <w:t xml:space="preserve"> that the directors were:</w:t>
      </w:r>
      <w:bookmarkEnd w:id="26"/>
    </w:p>
    <w:p w14:paraId="0846B985" w14:textId="52FE3362" w:rsidR="00866831" w:rsidRDefault="00866831" w:rsidP="009D04DD">
      <w:pPr>
        <w:pStyle w:val="Untitledsubclause2"/>
      </w:pPr>
      <w:bookmarkStart w:id="27" w:name="a1038179"/>
      <w:r>
        <w:t xml:space="preserve">duly authorised by an ordinary resolution passed under section 551 of the Companies Act 2006 to exercise any power of the Company to allot shares in the Company or grant rights to subscribe for or convert any security into shares in the Company up to an aggregate nominal amount of </w:t>
      </w:r>
      <w:proofErr w:type="gramStart"/>
      <w:r>
        <w:t>£</w:t>
      </w:r>
      <w:r w:rsidR="00441745" w:rsidRPr="00C01679">
        <w:rPr>
          <w:lang w:val="en-US"/>
        </w:rPr>
        <w:t>[</w:t>
      </w:r>
      <w:proofErr w:type="gramEnd"/>
      <w:r w:rsidR="00441745" w:rsidRPr="00C01679">
        <w:rPr>
          <w:lang w:val="en-US"/>
        </w:rPr>
        <w:t>●]</w:t>
      </w:r>
      <w:r>
        <w:t>; and</w:t>
      </w:r>
      <w:bookmarkEnd w:id="27"/>
    </w:p>
    <w:p w14:paraId="1C47CEED" w14:textId="1E19EA9E" w:rsidR="00866831" w:rsidRDefault="00866831" w:rsidP="009D04DD">
      <w:pPr>
        <w:pStyle w:val="Untitledsubclause2"/>
      </w:pPr>
      <w:bookmarkStart w:id="28" w:name="a424161"/>
      <w:r>
        <w:t>empowered by a special resolution passed under section 57</w:t>
      </w:r>
      <w:r w:rsidR="00441745">
        <w:t>1</w:t>
      </w:r>
      <w:r>
        <w:t xml:space="preserve"> of the Companies Act 2006</w:t>
      </w:r>
      <w:r w:rsidR="00441745">
        <w:t xml:space="preserve"> </w:t>
      </w:r>
      <w:r>
        <w:t>to allot equity securities as if the pre-emption rights under section 561 of the Companies Act 2006 did not apply.</w:t>
      </w:r>
      <w:bookmarkEnd w:id="28"/>
    </w:p>
    <w:p w14:paraId="09DA2900" w14:textId="6150CCC2" w:rsidR="00866831" w:rsidRDefault="00866831" w:rsidP="009D04DD">
      <w:pPr>
        <w:pStyle w:val="Untitledsubclause1"/>
      </w:pPr>
      <w:bookmarkStart w:id="29" w:name="a83826"/>
      <w:r>
        <w:t xml:space="preserve">After </w:t>
      </w:r>
      <w:r w:rsidR="00C51CEE">
        <w:t xml:space="preserve">due and </w:t>
      </w:r>
      <w:r>
        <w:t>careful consideration</w:t>
      </w:r>
      <w:r w:rsidR="00C51CEE">
        <w:t xml:space="preserve"> of the Proposed Allotment and the Documents</w:t>
      </w:r>
      <w:r>
        <w:t xml:space="preserve">, including consideration of the matters referred to in section 172(1) of the Companies Act 2006, </w:t>
      </w:r>
      <w:r w:rsidRPr="00441745">
        <w:rPr>
          <w:b/>
          <w:bCs/>
        </w:rPr>
        <w:t>IT WAS RESOLVED</w:t>
      </w:r>
      <w:r>
        <w:t>:</w:t>
      </w:r>
      <w:bookmarkEnd w:id="29"/>
    </w:p>
    <w:p w14:paraId="1163A2BE" w14:textId="0495E456" w:rsidR="00866831" w:rsidRDefault="00866831" w:rsidP="009D04DD">
      <w:pPr>
        <w:pStyle w:val="Untitledsubclause2"/>
      </w:pPr>
      <w:bookmarkStart w:id="30" w:name="a213456"/>
      <w:r>
        <w:lastRenderedPageBreak/>
        <w:t xml:space="preserve">that the Proposed Allotment </w:t>
      </w:r>
      <w:r w:rsidR="00C51CEE">
        <w:t xml:space="preserve">and entry into the Documents </w:t>
      </w:r>
      <w:r>
        <w:t xml:space="preserve">would promote the success of the Company for the benefit of its members as a </w:t>
      </w:r>
      <w:proofErr w:type="gramStart"/>
      <w:r>
        <w:t>whole;</w:t>
      </w:r>
      <w:bookmarkEnd w:id="30"/>
      <w:proofErr w:type="gramEnd"/>
    </w:p>
    <w:p w14:paraId="1DB0928C" w14:textId="7312B399" w:rsidR="00C51CEE" w:rsidRDefault="00C51CEE" w:rsidP="009D04DD">
      <w:pPr>
        <w:pStyle w:val="Untitledsubclause2"/>
      </w:pPr>
      <w:bookmarkStart w:id="31" w:name="a90145"/>
      <w:r>
        <w:t xml:space="preserve">the terms of the Documents be and </w:t>
      </w:r>
      <w:r w:rsidRPr="00934511">
        <w:rPr>
          <w:rFonts w:eastAsiaTheme="minorHAnsi"/>
        </w:rPr>
        <w:t>are approved</w:t>
      </w:r>
      <w:r>
        <w:rPr>
          <w:rFonts w:eastAsiaTheme="minorHAnsi"/>
        </w:rPr>
        <w:t>, subject to any final amendments that any director of the Company may consider necessary or desirable (including any amendments in manuscript</w:t>
      </w:r>
      <w:proofErr w:type="gramStart"/>
      <w:r>
        <w:rPr>
          <w:rFonts w:eastAsiaTheme="minorHAnsi"/>
        </w:rPr>
        <w:t>);</w:t>
      </w:r>
      <w:proofErr w:type="gramEnd"/>
    </w:p>
    <w:p w14:paraId="36672047" w14:textId="056563C1" w:rsidR="00866831" w:rsidRDefault="00866831" w:rsidP="009D04DD">
      <w:pPr>
        <w:pStyle w:val="Untitledsubclause2"/>
      </w:pPr>
      <w:r>
        <w:t xml:space="preserve">to accept the applications for the allotment of shares referred to in </w:t>
      </w:r>
      <w:r>
        <w:fldChar w:fldCharType="begin"/>
      </w:r>
      <w:r>
        <w:instrText>PAGEREF a242789\# "'paragraph '"  \h</w:instrText>
      </w:r>
      <w:r>
        <w:fldChar w:fldCharType="separate"/>
      </w:r>
      <w:r>
        <w:t xml:space="preserve">paragraph </w:t>
      </w:r>
      <w:r>
        <w:fldChar w:fldCharType="end"/>
      </w:r>
      <w:r>
        <w:fldChar w:fldCharType="begin"/>
      </w:r>
      <w:r>
        <w:rPr>
          <w:highlight w:val="lightGray"/>
        </w:rPr>
        <w:instrText>REF a242789 \h \w</w:instrText>
      </w:r>
      <w:r>
        <w:fldChar w:fldCharType="separate"/>
      </w:r>
      <w:r>
        <w:t>5.1(a)</w:t>
      </w:r>
      <w:r>
        <w:fldChar w:fldCharType="end"/>
      </w:r>
      <w:r>
        <w:t xml:space="preserve"> and to allot and issue to the applicants, in accordance with the terms of their applications, the shares applied for by each of them respectively, credited as fully paid;</w:t>
      </w:r>
      <w:bookmarkEnd w:id="31"/>
    </w:p>
    <w:p w14:paraId="2D4E01AF" w14:textId="6DEA0F34" w:rsidR="00866831" w:rsidRDefault="00866831" w:rsidP="009D04DD">
      <w:pPr>
        <w:pStyle w:val="Untitledsubclause2"/>
      </w:pPr>
      <w:bookmarkStart w:id="32" w:name="a912607"/>
      <w:r>
        <w:t xml:space="preserve">to instruct </w:t>
      </w:r>
      <w:r w:rsidR="00441745">
        <w:t>any director</w:t>
      </w:r>
      <w:r>
        <w:t xml:space="preserve"> to:</w:t>
      </w:r>
      <w:bookmarkEnd w:id="32"/>
    </w:p>
    <w:p w14:paraId="24A371C4" w14:textId="50CA5A04" w:rsidR="00866831" w:rsidRDefault="00866831" w:rsidP="009D04DD">
      <w:pPr>
        <w:pStyle w:val="Untitledsubclause3"/>
      </w:pPr>
      <w:bookmarkStart w:id="33" w:name="a822050"/>
      <w:r>
        <w:t>prepare share certificates in respect of the allotted and issued shares and to arrange for the share certificates to be executed by the Company in accordance with section 44 of the Companies Act 2006 and delivered to the applicants; and</w:t>
      </w:r>
      <w:bookmarkEnd w:id="33"/>
    </w:p>
    <w:p w14:paraId="2D5021DA" w14:textId="15BE96D3" w:rsidR="00866831" w:rsidRDefault="00866831" w:rsidP="009D04DD">
      <w:pPr>
        <w:pStyle w:val="Untitledsubclause3"/>
      </w:pPr>
      <w:bookmarkStart w:id="34" w:name="a1020950"/>
      <w:r>
        <w:t xml:space="preserve">enter each applicant's name on the register of members of the Company as the holder of the shares allotted and issued to that applicant, and make all other necessary and appropriate entries in the books and registers of the </w:t>
      </w:r>
      <w:proofErr w:type="gramStart"/>
      <w:r>
        <w:t>Company;</w:t>
      </w:r>
      <w:bookmarkEnd w:id="34"/>
      <w:proofErr w:type="gramEnd"/>
    </w:p>
    <w:p w14:paraId="762F8421" w14:textId="62481229" w:rsidR="00866831" w:rsidRDefault="00866831" w:rsidP="009D04DD">
      <w:pPr>
        <w:pStyle w:val="Untitledsubclause2"/>
      </w:pPr>
      <w:r>
        <w:fldChar w:fldCharType="begin"/>
      </w:r>
      <w:r>
        <w:fldChar w:fldCharType="end"/>
      </w:r>
      <w:bookmarkStart w:id="35" w:name="a437523"/>
      <w:r>
        <w:t>to authorise any one or more of the directors of the Company to do all such acts and things and agree and execute on behalf of the Company all such documents to which the Company is a party and all other documents as may be required</w:t>
      </w:r>
      <w:r w:rsidR="00441745">
        <w:t xml:space="preserve"> </w:t>
      </w:r>
      <w:r>
        <w:t>in connection with the Proposed Allotment and generally to sign all such certificates, notices and other documents as may be necessary or desirable in connection with the Proposed Allotment, subject in each case to such amendments as those executing the same on behalf of the Company consider fit</w:t>
      </w:r>
      <w:bookmarkEnd w:id="35"/>
      <w:r w:rsidR="00C51CEE">
        <w:t>; and</w:t>
      </w:r>
    </w:p>
    <w:p w14:paraId="59CD502A" w14:textId="69B48AA0" w:rsidR="00C51CEE" w:rsidRPr="00C51CEE" w:rsidRDefault="00C51CEE" w:rsidP="00C51CEE">
      <w:pPr>
        <w:pStyle w:val="Untitledsubclause2"/>
      </w:pPr>
      <w:r w:rsidRPr="00E1118D">
        <w:rPr>
          <w:rFonts w:eastAsiaTheme="minorHAnsi"/>
        </w:rPr>
        <w:t xml:space="preserve">any </w:t>
      </w:r>
      <w:r w:rsidRPr="00C51CEE">
        <w:t>director and, in the case of any Document requiring execution as a deed, any two directors or any director in the presence of a witness who attests their signature, be and is hereby authorised to execute the Documents for and on behalf of the Company in the form produced to the meeting (subject to such amendments, modifications, variations and alterations as those executing the same on behalf of the Company think fit)</w:t>
      </w:r>
      <w:r>
        <w:t>.</w:t>
      </w:r>
    </w:p>
    <w:p w14:paraId="46262023" w14:textId="41E73058" w:rsidR="00223A9C" w:rsidRDefault="00223A9C" w:rsidP="00223A9C">
      <w:pPr>
        <w:pStyle w:val="TitleClause"/>
      </w:pPr>
      <w:r>
        <w:t>[Appointment of directors</w:t>
      </w:r>
    </w:p>
    <w:p w14:paraId="0FF8CD10" w14:textId="789527BB" w:rsidR="00223A9C" w:rsidRDefault="00223A9C" w:rsidP="00223A9C">
      <w:pPr>
        <w:pStyle w:val="Untitledsubclause1"/>
      </w:pPr>
      <w:r>
        <w:t>It was reported that [NAME] [and [NAME] had each consented to act as a director of the Company.</w:t>
      </w:r>
    </w:p>
    <w:p w14:paraId="3D19DE16" w14:textId="1C68750D" w:rsidR="00223A9C" w:rsidRDefault="00223A9C" w:rsidP="00223A9C">
      <w:pPr>
        <w:pStyle w:val="Untitledsubclause1"/>
      </w:pPr>
      <w:r w:rsidRPr="00223A9C">
        <w:rPr>
          <w:b/>
          <w:bCs/>
        </w:rPr>
        <w:t>IT WAS RESOLVED</w:t>
      </w:r>
      <w:r>
        <w:t xml:space="preserve"> to appoint [NAME] and [NAME] as director[s]</w:t>
      </w:r>
      <w:r w:rsidR="00866831">
        <w:t xml:space="preserve"> (the "</w:t>
      </w:r>
      <w:r w:rsidR="00866831" w:rsidRPr="00866831">
        <w:rPr>
          <w:b/>
          <w:bCs/>
        </w:rPr>
        <w:t>New Directors</w:t>
      </w:r>
      <w:r w:rsidR="00866831">
        <w:t>")</w:t>
      </w:r>
      <w:r>
        <w:t>, [in each case] with effect from the close of the meeting.</w:t>
      </w:r>
      <w:r w:rsidR="00683CCB">
        <w:t>]</w:t>
      </w:r>
    </w:p>
    <w:p w14:paraId="17ECE153" w14:textId="77777777" w:rsidR="00866831" w:rsidRDefault="00866831" w:rsidP="009D04DD">
      <w:pPr>
        <w:pStyle w:val="TitleClause"/>
      </w:pPr>
      <w:bookmarkStart w:id="36" w:name="a609620"/>
      <w:r>
        <w:t>Filing</w:t>
      </w:r>
      <w:bookmarkEnd w:id="36"/>
    </w:p>
    <w:p w14:paraId="758CE007" w14:textId="57C78AD3" w:rsidR="00866831" w:rsidRDefault="00866831" w:rsidP="009D04DD">
      <w:pPr>
        <w:pStyle w:val="NoNumUntitledsubclause1"/>
      </w:pPr>
      <w:bookmarkStart w:id="37" w:name="a508396"/>
      <w:r>
        <w:t xml:space="preserve">The chairperson instructed </w:t>
      </w:r>
      <w:r w:rsidR="001E3864">
        <w:t xml:space="preserve">any director </w:t>
      </w:r>
      <w:r>
        <w:t>to arrange for the following documents to be prepared and filed at Companies House:</w:t>
      </w:r>
      <w:bookmarkEnd w:id="37"/>
    </w:p>
    <w:p w14:paraId="387B5332" w14:textId="47373ED9" w:rsidR="00866831" w:rsidRDefault="00866831" w:rsidP="009D04DD">
      <w:pPr>
        <w:pStyle w:val="Untitledsubclause1"/>
      </w:pPr>
      <w:bookmarkStart w:id="38" w:name="a775429"/>
      <w:r>
        <w:t>A print of the Written Resolution.</w:t>
      </w:r>
      <w:r>
        <w:fldChar w:fldCharType="begin"/>
      </w:r>
      <w:r>
        <w:fldChar w:fldCharType="end"/>
      </w:r>
      <w:bookmarkEnd w:id="38"/>
    </w:p>
    <w:p w14:paraId="3DFB0962" w14:textId="76F3FF43" w:rsidR="001E3864" w:rsidRDefault="001E3864" w:rsidP="009D04DD">
      <w:pPr>
        <w:pStyle w:val="Untitledsubclause1"/>
      </w:pPr>
      <w:bookmarkStart w:id="39" w:name="a974329"/>
      <w:r>
        <w:lastRenderedPageBreak/>
        <w:t>The New Articles.</w:t>
      </w:r>
    </w:p>
    <w:p w14:paraId="33A9CDDB" w14:textId="77777777" w:rsidR="001E3864" w:rsidRDefault="00866831" w:rsidP="009D04DD">
      <w:pPr>
        <w:pStyle w:val="Untitledsubclause1"/>
      </w:pPr>
      <w:r>
        <w:t>Form SH01 (return of allotments) in relation to the allotted and issued shares.</w:t>
      </w:r>
    </w:p>
    <w:p w14:paraId="6E33794E" w14:textId="610EF045" w:rsidR="00866831" w:rsidRPr="00A47352" w:rsidRDefault="001E3864" w:rsidP="009D04DD">
      <w:pPr>
        <w:pStyle w:val="Untitledsubclause1"/>
      </w:pPr>
      <w:r>
        <w:t xml:space="preserve">Forms AP01 in relation to the appointment of the </w:t>
      </w:r>
      <w:r w:rsidR="00866831">
        <w:t>N</w:t>
      </w:r>
      <w:r>
        <w:t xml:space="preserve">ew </w:t>
      </w:r>
      <w:r w:rsidR="00866831">
        <w:t>D</w:t>
      </w:r>
      <w:r>
        <w:t>irectors.</w:t>
      </w:r>
      <w:r w:rsidR="00866831">
        <w:fldChar w:fldCharType="begin"/>
      </w:r>
      <w:r w:rsidR="00866831">
        <w:fldChar w:fldCharType="end"/>
      </w:r>
      <w:bookmarkEnd w:id="39"/>
    </w:p>
    <w:p w14:paraId="6ADE921E" w14:textId="77777777" w:rsidR="00866831" w:rsidRDefault="00866831" w:rsidP="009D04DD">
      <w:pPr>
        <w:pStyle w:val="TitleClause"/>
      </w:pPr>
      <w:bookmarkStart w:id="40" w:name="a197094"/>
      <w:r>
        <w:t>Close</w:t>
      </w:r>
      <w:bookmarkEnd w:id="40"/>
    </w:p>
    <w:p w14:paraId="77986EF3" w14:textId="77777777" w:rsidR="00866831" w:rsidRDefault="00866831" w:rsidP="009D04DD">
      <w:pPr>
        <w:pStyle w:val="NoNumUntitledsubclause1"/>
      </w:pPr>
      <w:bookmarkStart w:id="41" w:name="a127765"/>
      <w:r>
        <w:t xml:space="preserve">There was no further </w:t>
      </w:r>
      <w:proofErr w:type="gramStart"/>
      <w:r>
        <w:t>business</w:t>
      </w:r>
      <w:proofErr w:type="gramEnd"/>
      <w:r>
        <w:t xml:space="preserve"> and the chairperson declared the meeting closed.</w:t>
      </w:r>
      <w:bookmarkEnd w:id="41"/>
    </w:p>
    <w:p w14:paraId="2DE54967" w14:textId="5E497EC9" w:rsidR="00A71A8B" w:rsidRDefault="00A71A8B"/>
    <w:p w14:paraId="2C5739D2" w14:textId="77777777" w:rsidR="007178FD" w:rsidRDefault="007178FD" w:rsidP="007178FD"/>
    <w:p w14:paraId="46D7BD7A" w14:textId="77777777" w:rsidR="007178FD" w:rsidRDefault="007178FD" w:rsidP="007178FD"/>
    <w:p w14:paraId="7CA2BDD7" w14:textId="77777777" w:rsidR="007178FD" w:rsidRDefault="007178FD" w:rsidP="007178FD"/>
    <w:p w14:paraId="7FA05B1F" w14:textId="5D8CC65D" w:rsidR="007178FD" w:rsidRDefault="007178FD" w:rsidP="007178FD">
      <w:r>
        <w:t>..............</w:t>
      </w:r>
      <w:r>
        <w:t>.........</w:t>
      </w:r>
      <w:r>
        <w:t>.......</w:t>
      </w:r>
    </w:p>
    <w:p w14:paraId="45D4C134" w14:textId="77777777" w:rsidR="007178FD" w:rsidRDefault="007178FD" w:rsidP="007178FD">
      <w:r>
        <w:t>Chairperson</w:t>
      </w:r>
    </w:p>
    <w:p w14:paraId="00F79EB4" w14:textId="77777777" w:rsidR="007178FD" w:rsidRDefault="007178FD" w:rsidP="007178FD"/>
    <w:p w14:paraId="514773C7" w14:textId="77777777" w:rsidR="007178FD" w:rsidRDefault="007178FD" w:rsidP="007178FD"/>
    <w:p w14:paraId="345C2E80" w14:textId="77777777" w:rsidR="007178FD" w:rsidRDefault="007178FD" w:rsidP="007178FD"/>
    <w:p w14:paraId="0E04B4FF" w14:textId="4F70B26D" w:rsidR="007178FD" w:rsidRDefault="007178FD" w:rsidP="007178FD">
      <w:r>
        <w:t>............</w:t>
      </w:r>
      <w:r>
        <w:t>.........</w:t>
      </w:r>
      <w:r>
        <w:t>.........</w:t>
      </w:r>
    </w:p>
    <w:p w14:paraId="69419F03" w14:textId="65A04A97" w:rsidR="00A71A8B" w:rsidRDefault="007178FD" w:rsidP="007178FD">
      <w:r>
        <w:t>(Date)</w:t>
      </w:r>
    </w:p>
    <w:sectPr w:rsidR="00A71A8B" w:rsidSect="0010337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41FA" w14:textId="77777777" w:rsidR="00866831" w:rsidRDefault="00866831">
      <w:r>
        <w:separator/>
      </w:r>
    </w:p>
  </w:endnote>
  <w:endnote w:type="continuationSeparator" w:id="0">
    <w:p w14:paraId="09619C72" w14:textId="77777777" w:rsidR="00866831" w:rsidRDefault="0086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F2F5C" w14:textId="77777777" w:rsidR="00911F6A" w:rsidRDefault="00911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5C9F" w14:textId="77777777" w:rsidR="00A71A8B" w:rsidRDefault="00866831">
    <w:pPr>
      <w:jc w:val="center"/>
    </w:pPr>
    <w:r>
      <w:fldChar w:fldCharType="begin"/>
    </w:r>
    <w:r>
      <w:instrText>PAGE</w:instrText>
    </w:r>
    <w:r>
      <w:fldChar w:fldCharType="separate"/>
    </w:r>
    <w:r>
      <w:t>6</w:t>
    </w:r>
    <w:r>
      <w:fldChar w:fldCharType="end"/>
    </w:r>
  </w:p>
  <w:p w14:paraId="7D16B187" w14:textId="3E75D148" w:rsidR="00911F6A" w:rsidRDefault="007178FD" w:rsidP="00911F6A">
    <w:pPr>
      <w:jc w:val="center"/>
    </w:pPr>
    <w:r>
      <w:fldChar w:fldCharType="begin"/>
    </w:r>
    <w:r>
      <w:instrText xml:space="preserve"> DOCPROPERTY iManageFooter \* MERGEFORMAT </w:instrText>
    </w:r>
    <w:r>
      <w:fldChar w:fldCharType="separate"/>
    </w:r>
    <w:r w:rsidR="00B15D0C">
      <w:t>#60727605 v1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00CF" w14:textId="77777777" w:rsidR="00911F6A" w:rsidRDefault="00911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6657" w14:textId="77777777" w:rsidR="00866831" w:rsidRDefault="00866831">
      <w:r>
        <w:separator/>
      </w:r>
    </w:p>
  </w:footnote>
  <w:footnote w:type="continuationSeparator" w:id="0">
    <w:p w14:paraId="6784C909" w14:textId="77777777" w:rsidR="00866831" w:rsidRDefault="0086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6A028" w14:textId="77777777" w:rsidR="00911F6A" w:rsidRDefault="00911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9EA2" w14:textId="77777777" w:rsidR="00911F6A" w:rsidRDefault="00911F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E42C" w14:textId="77777777" w:rsidR="00911F6A" w:rsidRDefault="00911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AFF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308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30F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24C9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0A60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2CC8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B6D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67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3867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06FF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7253412"/>
    <w:multiLevelType w:val="hybridMultilevel"/>
    <w:tmpl w:val="960CC850"/>
    <w:lvl w:ilvl="0" w:tplc="7110E398">
      <w:start w:val="1"/>
      <w:numFmt w:val="bullet"/>
      <w:pStyle w:val="DefinedTermBullet"/>
      <w:lvlText w:val=""/>
      <w:lvlJc w:val="left"/>
      <w:pPr>
        <w:ind w:left="1440" w:hanging="360"/>
      </w:pPr>
      <w:rPr>
        <w:rFonts w:ascii="Symbol" w:hAnsi="Symbol" w:hint="default"/>
        <w:color w:val="000000"/>
      </w:rPr>
    </w:lvl>
    <w:lvl w:ilvl="1" w:tplc="B8DC658C" w:tentative="1">
      <w:start w:val="1"/>
      <w:numFmt w:val="bullet"/>
      <w:lvlText w:val="o"/>
      <w:lvlJc w:val="left"/>
      <w:pPr>
        <w:ind w:left="2160" w:hanging="360"/>
      </w:pPr>
      <w:rPr>
        <w:rFonts w:ascii="Courier New" w:hAnsi="Courier New" w:cs="Courier New" w:hint="default"/>
      </w:rPr>
    </w:lvl>
    <w:lvl w:ilvl="2" w:tplc="0CB8574A" w:tentative="1">
      <w:start w:val="1"/>
      <w:numFmt w:val="bullet"/>
      <w:lvlText w:val=""/>
      <w:lvlJc w:val="left"/>
      <w:pPr>
        <w:ind w:left="2880" w:hanging="360"/>
      </w:pPr>
      <w:rPr>
        <w:rFonts w:ascii="Wingdings" w:hAnsi="Wingdings" w:hint="default"/>
      </w:rPr>
    </w:lvl>
    <w:lvl w:ilvl="3" w:tplc="0D086C14" w:tentative="1">
      <w:start w:val="1"/>
      <w:numFmt w:val="bullet"/>
      <w:lvlText w:val=""/>
      <w:lvlJc w:val="left"/>
      <w:pPr>
        <w:ind w:left="3600" w:hanging="360"/>
      </w:pPr>
      <w:rPr>
        <w:rFonts w:ascii="Symbol" w:hAnsi="Symbol" w:hint="default"/>
      </w:rPr>
    </w:lvl>
    <w:lvl w:ilvl="4" w:tplc="DCE6FC04" w:tentative="1">
      <w:start w:val="1"/>
      <w:numFmt w:val="bullet"/>
      <w:lvlText w:val="o"/>
      <w:lvlJc w:val="left"/>
      <w:pPr>
        <w:ind w:left="4320" w:hanging="360"/>
      </w:pPr>
      <w:rPr>
        <w:rFonts w:ascii="Courier New" w:hAnsi="Courier New" w:cs="Courier New" w:hint="default"/>
      </w:rPr>
    </w:lvl>
    <w:lvl w:ilvl="5" w:tplc="DC182954" w:tentative="1">
      <w:start w:val="1"/>
      <w:numFmt w:val="bullet"/>
      <w:lvlText w:val=""/>
      <w:lvlJc w:val="left"/>
      <w:pPr>
        <w:ind w:left="5040" w:hanging="360"/>
      </w:pPr>
      <w:rPr>
        <w:rFonts w:ascii="Wingdings" w:hAnsi="Wingdings" w:hint="default"/>
      </w:rPr>
    </w:lvl>
    <w:lvl w:ilvl="6" w:tplc="F1000E8E" w:tentative="1">
      <w:start w:val="1"/>
      <w:numFmt w:val="bullet"/>
      <w:lvlText w:val=""/>
      <w:lvlJc w:val="left"/>
      <w:pPr>
        <w:ind w:left="5760" w:hanging="360"/>
      </w:pPr>
      <w:rPr>
        <w:rFonts w:ascii="Symbol" w:hAnsi="Symbol" w:hint="default"/>
      </w:rPr>
    </w:lvl>
    <w:lvl w:ilvl="7" w:tplc="B38EECEC" w:tentative="1">
      <w:start w:val="1"/>
      <w:numFmt w:val="bullet"/>
      <w:lvlText w:val="o"/>
      <w:lvlJc w:val="left"/>
      <w:pPr>
        <w:ind w:left="6480" w:hanging="360"/>
      </w:pPr>
      <w:rPr>
        <w:rFonts w:ascii="Courier New" w:hAnsi="Courier New" w:cs="Courier New" w:hint="default"/>
      </w:rPr>
    </w:lvl>
    <w:lvl w:ilvl="8" w:tplc="976A5EDE" w:tentative="1">
      <w:start w:val="1"/>
      <w:numFmt w:val="bullet"/>
      <w:lvlText w:val=""/>
      <w:lvlJc w:val="left"/>
      <w:pPr>
        <w:ind w:left="7200" w:hanging="360"/>
      </w:pPr>
      <w:rPr>
        <w:rFonts w:ascii="Wingdings" w:hAnsi="Wingdings" w:hint="default"/>
      </w:rPr>
    </w:lvl>
  </w:abstractNum>
  <w:abstractNum w:abstractNumId="13"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4" w15:restartNumberingAfterBreak="0">
    <w:nsid w:val="0CEE40C4"/>
    <w:multiLevelType w:val="multilevel"/>
    <w:tmpl w:val="0809001D"/>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6"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9" w15:restartNumberingAfterBreak="0">
    <w:nsid w:val="20E82F3A"/>
    <w:multiLevelType w:val="hybridMultilevel"/>
    <w:tmpl w:val="1DF80854"/>
    <w:lvl w:ilvl="0" w:tplc="90A8FCF4">
      <w:start w:val="1"/>
      <w:numFmt w:val="decimal"/>
      <w:pStyle w:val="ScheduleHeading-Single"/>
      <w:lvlText w:val="Schedule"/>
      <w:lvlJc w:val="left"/>
      <w:pPr>
        <w:tabs>
          <w:tab w:val="num" w:pos="720"/>
        </w:tabs>
        <w:ind w:left="720" w:hanging="720"/>
      </w:pPr>
      <w:rPr>
        <w:color w:val="000000"/>
      </w:rPr>
    </w:lvl>
    <w:lvl w:ilvl="1" w:tplc="AEFC97D4" w:tentative="1">
      <w:start w:val="1"/>
      <w:numFmt w:val="lowerLetter"/>
      <w:lvlText w:val="%2."/>
      <w:lvlJc w:val="left"/>
      <w:pPr>
        <w:tabs>
          <w:tab w:val="num" w:pos="1440"/>
        </w:tabs>
        <w:ind w:left="1440" w:hanging="360"/>
      </w:pPr>
    </w:lvl>
    <w:lvl w:ilvl="2" w:tplc="14D6B65E" w:tentative="1">
      <w:start w:val="1"/>
      <w:numFmt w:val="lowerRoman"/>
      <w:lvlText w:val="%3."/>
      <w:lvlJc w:val="right"/>
      <w:pPr>
        <w:tabs>
          <w:tab w:val="num" w:pos="2160"/>
        </w:tabs>
        <w:ind w:left="2160" w:hanging="180"/>
      </w:pPr>
    </w:lvl>
    <w:lvl w:ilvl="3" w:tplc="DC9C0504" w:tentative="1">
      <w:start w:val="1"/>
      <w:numFmt w:val="decimal"/>
      <w:lvlText w:val="%4."/>
      <w:lvlJc w:val="left"/>
      <w:pPr>
        <w:tabs>
          <w:tab w:val="num" w:pos="2880"/>
        </w:tabs>
        <w:ind w:left="2880" w:hanging="360"/>
      </w:pPr>
    </w:lvl>
    <w:lvl w:ilvl="4" w:tplc="C2326AC0" w:tentative="1">
      <w:start w:val="1"/>
      <w:numFmt w:val="lowerLetter"/>
      <w:lvlText w:val="%5."/>
      <w:lvlJc w:val="left"/>
      <w:pPr>
        <w:tabs>
          <w:tab w:val="num" w:pos="3600"/>
        </w:tabs>
        <w:ind w:left="3600" w:hanging="360"/>
      </w:pPr>
    </w:lvl>
    <w:lvl w:ilvl="5" w:tplc="AD227C7A" w:tentative="1">
      <w:start w:val="1"/>
      <w:numFmt w:val="lowerRoman"/>
      <w:lvlText w:val="%6."/>
      <w:lvlJc w:val="right"/>
      <w:pPr>
        <w:tabs>
          <w:tab w:val="num" w:pos="4320"/>
        </w:tabs>
        <w:ind w:left="4320" w:hanging="180"/>
      </w:pPr>
    </w:lvl>
    <w:lvl w:ilvl="6" w:tplc="CBBEC54C" w:tentative="1">
      <w:start w:val="1"/>
      <w:numFmt w:val="decimal"/>
      <w:lvlText w:val="%7."/>
      <w:lvlJc w:val="left"/>
      <w:pPr>
        <w:tabs>
          <w:tab w:val="num" w:pos="5040"/>
        </w:tabs>
        <w:ind w:left="5040" w:hanging="360"/>
      </w:pPr>
    </w:lvl>
    <w:lvl w:ilvl="7" w:tplc="8912DA78" w:tentative="1">
      <w:start w:val="1"/>
      <w:numFmt w:val="lowerLetter"/>
      <w:lvlText w:val="%8."/>
      <w:lvlJc w:val="left"/>
      <w:pPr>
        <w:tabs>
          <w:tab w:val="num" w:pos="5760"/>
        </w:tabs>
        <w:ind w:left="5760" w:hanging="360"/>
      </w:pPr>
    </w:lvl>
    <w:lvl w:ilvl="8" w:tplc="CFB4A938" w:tentative="1">
      <w:start w:val="1"/>
      <w:numFmt w:val="lowerRoman"/>
      <w:lvlText w:val="%9."/>
      <w:lvlJc w:val="right"/>
      <w:pPr>
        <w:tabs>
          <w:tab w:val="num" w:pos="6480"/>
        </w:tabs>
        <w:ind w:left="6480" w:hanging="180"/>
      </w:pPr>
    </w:lvl>
  </w:abstractNum>
  <w:abstractNum w:abstractNumId="20" w15:restartNumberingAfterBreak="0">
    <w:nsid w:val="25B00E4C"/>
    <w:multiLevelType w:val="hybridMultilevel"/>
    <w:tmpl w:val="97C4AA26"/>
    <w:lvl w:ilvl="0" w:tplc="C40EDFF0">
      <w:start w:val="1"/>
      <w:numFmt w:val="upperLetter"/>
      <w:pStyle w:val="Annex"/>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6B4D836" w:tentative="1">
      <w:start w:val="1"/>
      <w:numFmt w:val="lowerLetter"/>
      <w:lvlText w:val="%2."/>
      <w:lvlJc w:val="left"/>
      <w:pPr>
        <w:ind w:left="1440" w:hanging="360"/>
      </w:pPr>
    </w:lvl>
    <w:lvl w:ilvl="2" w:tplc="3B8E22BA" w:tentative="1">
      <w:start w:val="1"/>
      <w:numFmt w:val="lowerRoman"/>
      <w:lvlText w:val="%3."/>
      <w:lvlJc w:val="right"/>
      <w:pPr>
        <w:ind w:left="2160" w:hanging="180"/>
      </w:pPr>
    </w:lvl>
    <w:lvl w:ilvl="3" w:tplc="AFC22558" w:tentative="1">
      <w:start w:val="1"/>
      <w:numFmt w:val="decimal"/>
      <w:lvlText w:val="%4."/>
      <w:lvlJc w:val="left"/>
      <w:pPr>
        <w:ind w:left="2880" w:hanging="360"/>
      </w:pPr>
    </w:lvl>
    <w:lvl w:ilvl="4" w:tplc="0FC0A79E" w:tentative="1">
      <w:start w:val="1"/>
      <w:numFmt w:val="lowerLetter"/>
      <w:lvlText w:val="%5."/>
      <w:lvlJc w:val="left"/>
      <w:pPr>
        <w:ind w:left="3600" w:hanging="360"/>
      </w:pPr>
    </w:lvl>
    <w:lvl w:ilvl="5" w:tplc="E4041ED8" w:tentative="1">
      <w:start w:val="1"/>
      <w:numFmt w:val="lowerRoman"/>
      <w:lvlText w:val="%6."/>
      <w:lvlJc w:val="right"/>
      <w:pPr>
        <w:ind w:left="4320" w:hanging="180"/>
      </w:pPr>
    </w:lvl>
    <w:lvl w:ilvl="6" w:tplc="B1C68A42" w:tentative="1">
      <w:start w:val="1"/>
      <w:numFmt w:val="decimal"/>
      <w:lvlText w:val="%7."/>
      <w:lvlJc w:val="left"/>
      <w:pPr>
        <w:ind w:left="5040" w:hanging="360"/>
      </w:pPr>
    </w:lvl>
    <w:lvl w:ilvl="7" w:tplc="833E8610" w:tentative="1">
      <w:start w:val="1"/>
      <w:numFmt w:val="lowerLetter"/>
      <w:lvlText w:val="%8."/>
      <w:lvlJc w:val="left"/>
      <w:pPr>
        <w:ind w:left="5760" w:hanging="360"/>
      </w:pPr>
    </w:lvl>
    <w:lvl w:ilvl="8" w:tplc="997A4F20" w:tentative="1">
      <w:start w:val="1"/>
      <w:numFmt w:val="lowerRoman"/>
      <w:lvlText w:val="%9."/>
      <w:lvlJc w:val="right"/>
      <w:pPr>
        <w:ind w:left="6480" w:hanging="180"/>
      </w:pPr>
    </w:lvl>
  </w:abstractNum>
  <w:abstractNum w:abstractNumId="21" w15:restartNumberingAfterBreak="0">
    <w:nsid w:val="29C94F29"/>
    <w:multiLevelType w:val="hybridMultilevel"/>
    <w:tmpl w:val="4CBC2A34"/>
    <w:lvl w:ilvl="0" w:tplc="19CE51DA">
      <w:start w:val="1"/>
      <w:numFmt w:val="decimal"/>
      <w:pStyle w:val="QuestionParagraph"/>
      <w:lvlText w:val="%1."/>
      <w:lvlJc w:val="left"/>
      <w:pPr>
        <w:ind w:left="720" w:hanging="360"/>
      </w:pPr>
      <w:rPr>
        <w:color w:val="000000"/>
      </w:rPr>
    </w:lvl>
    <w:lvl w:ilvl="1" w:tplc="7EF268EE" w:tentative="1">
      <w:start w:val="1"/>
      <w:numFmt w:val="lowerLetter"/>
      <w:lvlText w:val="%2."/>
      <w:lvlJc w:val="left"/>
      <w:pPr>
        <w:ind w:left="1440" w:hanging="360"/>
      </w:pPr>
    </w:lvl>
    <w:lvl w:ilvl="2" w:tplc="024A281E" w:tentative="1">
      <w:start w:val="1"/>
      <w:numFmt w:val="lowerRoman"/>
      <w:lvlText w:val="%3."/>
      <w:lvlJc w:val="right"/>
      <w:pPr>
        <w:ind w:left="2160" w:hanging="180"/>
      </w:pPr>
    </w:lvl>
    <w:lvl w:ilvl="3" w:tplc="7B3C274E" w:tentative="1">
      <w:start w:val="1"/>
      <w:numFmt w:val="decimal"/>
      <w:lvlText w:val="%4."/>
      <w:lvlJc w:val="left"/>
      <w:pPr>
        <w:ind w:left="2880" w:hanging="360"/>
      </w:pPr>
    </w:lvl>
    <w:lvl w:ilvl="4" w:tplc="3EB872BC" w:tentative="1">
      <w:start w:val="1"/>
      <w:numFmt w:val="lowerLetter"/>
      <w:lvlText w:val="%5."/>
      <w:lvlJc w:val="left"/>
      <w:pPr>
        <w:ind w:left="3600" w:hanging="360"/>
      </w:pPr>
    </w:lvl>
    <w:lvl w:ilvl="5" w:tplc="1E04C822" w:tentative="1">
      <w:start w:val="1"/>
      <w:numFmt w:val="lowerRoman"/>
      <w:lvlText w:val="%6."/>
      <w:lvlJc w:val="right"/>
      <w:pPr>
        <w:ind w:left="4320" w:hanging="180"/>
      </w:pPr>
    </w:lvl>
    <w:lvl w:ilvl="6" w:tplc="70F29884" w:tentative="1">
      <w:start w:val="1"/>
      <w:numFmt w:val="decimal"/>
      <w:lvlText w:val="%7."/>
      <w:lvlJc w:val="left"/>
      <w:pPr>
        <w:ind w:left="5040" w:hanging="360"/>
      </w:pPr>
    </w:lvl>
    <w:lvl w:ilvl="7" w:tplc="78E8FC56" w:tentative="1">
      <w:start w:val="1"/>
      <w:numFmt w:val="lowerLetter"/>
      <w:lvlText w:val="%8."/>
      <w:lvlJc w:val="left"/>
      <w:pPr>
        <w:ind w:left="5760" w:hanging="360"/>
      </w:pPr>
    </w:lvl>
    <w:lvl w:ilvl="8" w:tplc="0630E128" w:tentative="1">
      <w:start w:val="1"/>
      <w:numFmt w:val="lowerRoman"/>
      <w:lvlText w:val="%9."/>
      <w:lvlJc w:val="right"/>
      <w:pPr>
        <w:ind w:left="6480" w:hanging="180"/>
      </w:pPr>
    </w:lvl>
  </w:abstractNum>
  <w:abstractNum w:abstractNumId="22" w15:restartNumberingAfterBreak="0">
    <w:nsid w:val="310416CA"/>
    <w:multiLevelType w:val="hybridMultilevel"/>
    <w:tmpl w:val="072EDEC8"/>
    <w:lvl w:ilvl="0" w:tplc="BD121430">
      <w:start w:val="1"/>
      <w:numFmt w:val="bullet"/>
      <w:pStyle w:val="subclause2Bullet2"/>
      <w:lvlText w:val=""/>
      <w:lvlJc w:val="left"/>
      <w:pPr>
        <w:ind w:left="2279" w:hanging="360"/>
      </w:pPr>
      <w:rPr>
        <w:rFonts w:ascii="Symbol" w:hAnsi="Symbol" w:hint="default"/>
        <w:color w:val="000000"/>
      </w:rPr>
    </w:lvl>
    <w:lvl w:ilvl="1" w:tplc="F7D07DBA" w:tentative="1">
      <w:start w:val="1"/>
      <w:numFmt w:val="bullet"/>
      <w:lvlText w:val="o"/>
      <w:lvlJc w:val="left"/>
      <w:pPr>
        <w:ind w:left="2999" w:hanging="360"/>
      </w:pPr>
      <w:rPr>
        <w:rFonts w:ascii="Courier New" w:hAnsi="Courier New" w:cs="Courier New" w:hint="default"/>
      </w:rPr>
    </w:lvl>
    <w:lvl w:ilvl="2" w:tplc="C4A43902" w:tentative="1">
      <w:start w:val="1"/>
      <w:numFmt w:val="bullet"/>
      <w:lvlText w:val=""/>
      <w:lvlJc w:val="left"/>
      <w:pPr>
        <w:ind w:left="3719" w:hanging="360"/>
      </w:pPr>
      <w:rPr>
        <w:rFonts w:ascii="Wingdings" w:hAnsi="Wingdings" w:hint="default"/>
      </w:rPr>
    </w:lvl>
    <w:lvl w:ilvl="3" w:tplc="4C1896D0" w:tentative="1">
      <w:start w:val="1"/>
      <w:numFmt w:val="bullet"/>
      <w:lvlText w:val=""/>
      <w:lvlJc w:val="left"/>
      <w:pPr>
        <w:ind w:left="4439" w:hanging="360"/>
      </w:pPr>
      <w:rPr>
        <w:rFonts w:ascii="Symbol" w:hAnsi="Symbol" w:hint="default"/>
      </w:rPr>
    </w:lvl>
    <w:lvl w:ilvl="4" w:tplc="3738DD72" w:tentative="1">
      <w:start w:val="1"/>
      <w:numFmt w:val="bullet"/>
      <w:lvlText w:val="o"/>
      <w:lvlJc w:val="left"/>
      <w:pPr>
        <w:ind w:left="5159" w:hanging="360"/>
      </w:pPr>
      <w:rPr>
        <w:rFonts w:ascii="Courier New" w:hAnsi="Courier New" w:cs="Courier New" w:hint="default"/>
      </w:rPr>
    </w:lvl>
    <w:lvl w:ilvl="5" w:tplc="F572D568" w:tentative="1">
      <w:start w:val="1"/>
      <w:numFmt w:val="bullet"/>
      <w:lvlText w:val=""/>
      <w:lvlJc w:val="left"/>
      <w:pPr>
        <w:ind w:left="5879" w:hanging="360"/>
      </w:pPr>
      <w:rPr>
        <w:rFonts w:ascii="Wingdings" w:hAnsi="Wingdings" w:hint="default"/>
      </w:rPr>
    </w:lvl>
    <w:lvl w:ilvl="6" w:tplc="95322BB2" w:tentative="1">
      <w:start w:val="1"/>
      <w:numFmt w:val="bullet"/>
      <w:lvlText w:val=""/>
      <w:lvlJc w:val="left"/>
      <w:pPr>
        <w:ind w:left="6599" w:hanging="360"/>
      </w:pPr>
      <w:rPr>
        <w:rFonts w:ascii="Symbol" w:hAnsi="Symbol" w:hint="default"/>
      </w:rPr>
    </w:lvl>
    <w:lvl w:ilvl="7" w:tplc="A2AE74B8" w:tentative="1">
      <w:start w:val="1"/>
      <w:numFmt w:val="bullet"/>
      <w:lvlText w:val="o"/>
      <w:lvlJc w:val="left"/>
      <w:pPr>
        <w:ind w:left="7319" w:hanging="360"/>
      </w:pPr>
      <w:rPr>
        <w:rFonts w:ascii="Courier New" w:hAnsi="Courier New" w:cs="Courier New" w:hint="default"/>
      </w:rPr>
    </w:lvl>
    <w:lvl w:ilvl="8" w:tplc="4630F114" w:tentative="1">
      <w:start w:val="1"/>
      <w:numFmt w:val="bullet"/>
      <w:lvlText w:val=""/>
      <w:lvlJc w:val="left"/>
      <w:pPr>
        <w:ind w:left="8039" w:hanging="360"/>
      </w:pPr>
      <w:rPr>
        <w:rFonts w:ascii="Wingdings" w:hAnsi="Wingdings" w:hint="default"/>
      </w:rPr>
    </w:lvl>
  </w:abstractNum>
  <w:abstractNum w:abstractNumId="23" w15:restartNumberingAfterBreak="0">
    <w:nsid w:val="33CC668D"/>
    <w:multiLevelType w:val="hybridMultilevel"/>
    <w:tmpl w:val="594C4DAE"/>
    <w:lvl w:ilvl="0" w:tplc="5106CD40">
      <w:start w:val="1"/>
      <w:numFmt w:val="bullet"/>
      <w:pStyle w:val="Bullet40"/>
      <w:lvlText w:val=""/>
      <w:lvlJc w:val="left"/>
      <w:pPr>
        <w:tabs>
          <w:tab w:val="num" w:pos="2676"/>
        </w:tabs>
        <w:ind w:left="2676" w:hanging="357"/>
      </w:pPr>
      <w:rPr>
        <w:rFonts w:ascii="Symbol" w:hAnsi="Symbol" w:hint="default"/>
        <w:color w:val="000000"/>
      </w:rPr>
    </w:lvl>
    <w:lvl w:ilvl="1" w:tplc="CFD6ECD2" w:tentative="1">
      <w:start w:val="1"/>
      <w:numFmt w:val="bullet"/>
      <w:lvlText w:val="o"/>
      <w:lvlJc w:val="left"/>
      <w:pPr>
        <w:tabs>
          <w:tab w:val="num" w:pos="1440"/>
        </w:tabs>
        <w:ind w:left="1440" w:hanging="360"/>
      </w:pPr>
      <w:rPr>
        <w:rFonts w:ascii="Courier New" w:hAnsi="Courier New" w:cs="Courier New" w:hint="default"/>
      </w:rPr>
    </w:lvl>
    <w:lvl w:ilvl="2" w:tplc="C9007988" w:tentative="1">
      <w:start w:val="1"/>
      <w:numFmt w:val="bullet"/>
      <w:lvlText w:val=""/>
      <w:lvlJc w:val="left"/>
      <w:pPr>
        <w:tabs>
          <w:tab w:val="num" w:pos="2160"/>
        </w:tabs>
        <w:ind w:left="2160" w:hanging="360"/>
      </w:pPr>
      <w:rPr>
        <w:rFonts w:ascii="Wingdings" w:hAnsi="Wingdings" w:hint="default"/>
      </w:rPr>
    </w:lvl>
    <w:lvl w:ilvl="3" w:tplc="F852F876" w:tentative="1">
      <w:start w:val="1"/>
      <w:numFmt w:val="bullet"/>
      <w:lvlText w:val=""/>
      <w:lvlJc w:val="left"/>
      <w:pPr>
        <w:tabs>
          <w:tab w:val="num" w:pos="2880"/>
        </w:tabs>
        <w:ind w:left="2880" w:hanging="360"/>
      </w:pPr>
      <w:rPr>
        <w:rFonts w:ascii="Symbol" w:hAnsi="Symbol" w:hint="default"/>
      </w:rPr>
    </w:lvl>
    <w:lvl w:ilvl="4" w:tplc="895CF872" w:tentative="1">
      <w:start w:val="1"/>
      <w:numFmt w:val="bullet"/>
      <w:lvlText w:val="o"/>
      <w:lvlJc w:val="left"/>
      <w:pPr>
        <w:tabs>
          <w:tab w:val="num" w:pos="3600"/>
        </w:tabs>
        <w:ind w:left="3600" w:hanging="360"/>
      </w:pPr>
      <w:rPr>
        <w:rFonts w:ascii="Courier New" w:hAnsi="Courier New" w:cs="Courier New" w:hint="default"/>
      </w:rPr>
    </w:lvl>
    <w:lvl w:ilvl="5" w:tplc="B4C6981C" w:tentative="1">
      <w:start w:val="1"/>
      <w:numFmt w:val="bullet"/>
      <w:lvlText w:val=""/>
      <w:lvlJc w:val="left"/>
      <w:pPr>
        <w:tabs>
          <w:tab w:val="num" w:pos="4320"/>
        </w:tabs>
        <w:ind w:left="4320" w:hanging="360"/>
      </w:pPr>
      <w:rPr>
        <w:rFonts w:ascii="Wingdings" w:hAnsi="Wingdings" w:hint="default"/>
      </w:rPr>
    </w:lvl>
    <w:lvl w:ilvl="6" w:tplc="18444D5A" w:tentative="1">
      <w:start w:val="1"/>
      <w:numFmt w:val="bullet"/>
      <w:lvlText w:val=""/>
      <w:lvlJc w:val="left"/>
      <w:pPr>
        <w:tabs>
          <w:tab w:val="num" w:pos="5040"/>
        </w:tabs>
        <w:ind w:left="5040" w:hanging="360"/>
      </w:pPr>
      <w:rPr>
        <w:rFonts w:ascii="Symbol" w:hAnsi="Symbol" w:hint="default"/>
      </w:rPr>
    </w:lvl>
    <w:lvl w:ilvl="7" w:tplc="DC04457C" w:tentative="1">
      <w:start w:val="1"/>
      <w:numFmt w:val="bullet"/>
      <w:lvlText w:val="o"/>
      <w:lvlJc w:val="left"/>
      <w:pPr>
        <w:tabs>
          <w:tab w:val="num" w:pos="5760"/>
        </w:tabs>
        <w:ind w:left="5760" w:hanging="360"/>
      </w:pPr>
      <w:rPr>
        <w:rFonts w:ascii="Courier New" w:hAnsi="Courier New" w:cs="Courier New" w:hint="default"/>
      </w:rPr>
    </w:lvl>
    <w:lvl w:ilvl="8" w:tplc="2C1473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130038"/>
    <w:multiLevelType w:val="hybridMultilevel"/>
    <w:tmpl w:val="FF8A0FAE"/>
    <w:lvl w:ilvl="0" w:tplc="FA1A3AB8">
      <w:start w:val="1"/>
      <w:numFmt w:val="bullet"/>
      <w:pStyle w:val="ClauseBullet2"/>
      <w:lvlText w:val=""/>
      <w:lvlJc w:val="left"/>
      <w:pPr>
        <w:ind w:left="1440" w:hanging="360"/>
      </w:pPr>
      <w:rPr>
        <w:rFonts w:ascii="Symbol" w:hAnsi="Symbol" w:hint="default"/>
        <w:color w:val="000000"/>
      </w:rPr>
    </w:lvl>
    <w:lvl w:ilvl="1" w:tplc="0748B062" w:tentative="1">
      <w:start w:val="1"/>
      <w:numFmt w:val="bullet"/>
      <w:lvlText w:val="o"/>
      <w:lvlJc w:val="left"/>
      <w:pPr>
        <w:ind w:left="2160" w:hanging="360"/>
      </w:pPr>
      <w:rPr>
        <w:rFonts w:ascii="Courier New" w:hAnsi="Courier New" w:cs="Courier New" w:hint="default"/>
      </w:rPr>
    </w:lvl>
    <w:lvl w:ilvl="2" w:tplc="491AC3FE" w:tentative="1">
      <w:start w:val="1"/>
      <w:numFmt w:val="bullet"/>
      <w:lvlText w:val=""/>
      <w:lvlJc w:val="left"/>
      <w:pPr>
        <w:ind w:left="2880" w:hanging="360"/>
      </w:pPr>
      <w:rPr>
        <w:rFonts w:ascii="Wingdings" w:hAnsi="Wingdings" w:hint="default"/>
      </w:rPr>
    </w:lvl>
    <w:lvl w:ilvl="3" w:tplc="9B14D664" w:tentative="1">
      <w:start w:val="1"/>
      <w:numFmt w:val="bullet"/>
      <w:lvlText w:val=""/>
      <w:lvlJc w:val="left"/>
      <w:pPr>
        <w:ind w:left="3600" w:hanging="360"/>
      </w:pPr>
      <w:rPr>
        <w:rFonts w:ascii="Symbol" w:hAnsi="Symbol" w:hint="default"/>
      </w:rPr>
    </w:lvl>
    <w:lvl w:ilvl="4" w:tplc="76E83758" w:tentative="1">
      <w:start w:val="1"/>
      <w:numFmt w:val="bullet"/>
      <w:lvlText w:val="o"/>
      <w:lvlJc w:val="left"/>
      <w:pPr>
        <w:ind w:left="4320" w:hanging="360"/>
      </w:pPr>
      <w:rPr>
        <w:rFonts w:ascii="Courier New" w:hAnsi="Courier New" w:cs="Courier New" w:hint="default"/>
      </w:rPr>
    </w:lvl>
    <w:lvl w:ilvl="5" w:tplc="A79C928C" w:tentative="1">
      <w:start w:val="1"/>
      <w:numFmt w:val="bullet"/>
      <w:lvlText w:val=""/>
      <w:lvlJc w:val="left"/>
      <w:pPr>
        <w:ind w:left="5040" w:hanging="360"/>
      </w:pPr>
      <w:rPr>
        <w:rFonts w:ascii="Wingdings" w:hAnsi="Wingdings" w:hint="default"/>
      </w:rPr>
    </w:lvl>
    <w:lvl w:ilvl="6" w:tplc="80B2C102" w:tentative="1">
      <w:start w:val="1"/>
      <w:numFmt w:val="bullet"/>
      <w:lvlText w:val=""/>
      <w:lvlJc w:val="left"/>
      <w:pPr>
        <w:ind w:left="5760" w:hanging="360"/>
      </w:pPr>
      <w:rPr>
        <w:rFonts w:ascii="Symbol" w:hAnsi="Symbol" w:hint="default"/>
      </w:rPr>
    </w:lvl>
    <w:lvl w:ilvl="7" w:tplc="F6CA244A" w:tentative="1">
      <w:start w:val="1"/>
      <w:numFmt w:val="bullet"/>
      <w:lvlText w:val="o"/>
      <w:lvlJc w:val="left"/>
      <w:pPr>
        <w:ind w:left="6480" w:hanging="360"/>
      </w:pPr>
      <w:rPr>
        <w:rFonts w:ascii="Courier New" w:hAnsi="Courier New" w:cs="Courier New" w:hint="default"/>
      </w:rPr>
    </w:lvl>
    <w:lvl w:ilvl="8" w:tplc="876E10EC" w:tentative="1">
      <w:start w:val="1"/>
      <w:numFmt w:val="bullet"/>
      <w:lvlText w:val=""/>
      <w:lvlJc w:val="left"/>
      <w:pPr>
        <w:ind w:left="7200" w:hanging="360"/>
      </w:pPr>
      <w:rPr>
        <w:rFonts w:ascii="Wingdings" w:hAnsi="Wingdings" w:hint="default"/>
      </w:rPr>
    </w:lvl>
  </w:abstractNum>
  <w:abstractNum w:abstractNumId="25"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26" w15:restartNumberingAfterBreak="0">
    <w:nsid w:val="44D67987"/>
    <w:multiLevelType w:val="hybridMultilevel"/>
    <w:tmpl w:val="EBD6FB80"/>
    <w:lvl w:ilvl="0" w:tplc="14461FCC">
      <w:start w:val="1"/>
      <w:numFmt w:val="bullet"/>
      <w:pStyle w:val="subclause1Bullet2"/>
      <w:lvlText w:val=""/>
      <w:lvlJc w:val="left"/>
      <w:pPr>
        <w:ind w:left="1440" w:hanging="360"/>
      </w:pPr>
      <w:rPr>
        <w:rFonts w:ascii="Symbol" w:hAnsi="Symbol" w:hint="default"/>
        <w:color w:val="000000"/>
      </w:rPr>
    </w:lvl>
    <w:lvl w:ilvl="1" w:tplc="4874131E" w:tentative="1">
      <w:start w:val="1"/>
      <w:numFmt w:val="bullet"/>
      <w:lvlText w:val="o"/>
      <w:lvlJc w:val="left"/>
      <w:pPr>
        <w:ind w:left="2160" w:hanging="360"/>
      </w:pPr>
      <w:rPr>
        <w:rFonts w:ascii="Courier New" w:hAnsi="Courier New" w:cs="Courier New" w:hint="default"/>
      </w:rPr>
    </w:lvl>
    <w:lvl w:ilvl="2" w:tplc="BC50C468" w:tentative="1">
      <w:start w:val="1"/>
      <w:numFmt w:val="bullet"/>
      <w:lvlText w:val=""/>
      <w:lvlJc w:val="left"/>
      <w:pPr>
        <w:ind w:left="2880" w:hanging="360"/>
      </w:pPr>
      <w:rPr>
        <w:rFonts w:ascii="Wingdings" w:hAnsi="Wingdings" w:hint="default"/>
      </w:rPr>
    </w:lvl>
    <w:lvl w:ilvl="3" w:tplc="4036CAA4" w:tentative="1">
      <w:start w:val="1"/>
      <w:numFmt w:val="bullet"/>
      <w:lvlText w:val=""/>
      <w:lvlJc w:val="left"/>
      <w:pPr>
        <w:ind w:left="3600" w:hanging="360"/>
      </w:pPr>
      <w:rPr>
        <w:rFonts w:ascii="Symbol" w:hAnsi="Symbol" w:hint="default"/>
      </w:rPr>
    </w:lvl>
    <w:lvl w:ilvl="4" w:tplc="AA04F7EA" w:tentative="1">
      <w:start w:val="1"/>
      <w:numFmt w:val="bullet"/>
      <w:lvlText w:val="o"/>
      <w:lvlJc w:val="left"/>
      <w:pPr>
        <w:ind w:left="4320" w:hanging="360"/>
      </w:pPr>
      <w:rPr>
        <w:rFonts w:ascii="Courier New" w:hAnsi="Courier New" w:cs="Courier New" w:hint="default"/>
      </w:rPr>
    </w:lvl>
    <w:lvl w:ilvl="5" w:tplc="613A7920" w:tentative="1">
      <w:start w:val="1"/>
      <w:numFmt w:val="bullet"/>
      <w:lvlText w:val=""/>
      <w:lvlJc w:val="left"/>
      <w:pPr>
        <w:ind w:left="5040" w:hanging="360"/>
      </w:pPr>
      <w:rPr>
        <w:rFonts w:ascii="Wingdings" w:hAnsi="Wingdings" w:hint="default"/>
      </w:rPr>
    </w:lvl>
    <w:lvl w:ilvl="6" w:tplc="66A8B402" w:tentative="1">
      <w:start w:val="1"/>
      <w:numFmt w:val="bullet"/>
      <w:lvlText w:val=""/>
      <w:lvlJc w:val="left"/>
      <w:pPr>
        <w:ind w:left="5760" w:hanging="360"/>
      </w:pPr>
      <w:rPr>
        <w:rFonts w:ascii="Symbol" w:hAnsi="Symbol" w:hint="default"/>
      </w:rPr>
    </w:lvl>
    <w:lvl w:ilvl="7" w:tplc="654A5DBC" w:tentative="1">
      <w:start w:val="1"/>
      <w:numFmt w:val="bullet"/>
      <w:lvlText w:val="o"/>
      <w:lvlJc w:val="left"/>
      <w:pPr>
        <w:ind w:left="6480" w:hanging="360"/>
      </w:pPr>
      <w:rPr>
        <w:rFonts w:ascii="Courier New" w:hAnsi="Courier New" w:cs="Courier New" w:hint="default"/>
      </w:rPr>
    </w:lvl>
    <w:lvl w:ilvl="8" w:tplc="49E8C2BA" w:tentative="1">
      <w:start w:val="1"/>
      <w:numFmt w:val="bullet"/>
      <w:lvlText w:val=""/>
      <w:lvlJc w:val="left"/>
      <w:pPr>
        <w:ind w:left="7200" w:hanging="360"/>
      </w:pPr>
      <w:rPr>
        <w:rFonts w:ascii="Wingdings" w:hAnsi="Wingdings" w:hint="default"/>
      </w:rPr>
    </w:lvl>
  </w:abstractNum>
  <w:abstractNum w:abstractNumId="27" w15:restartNumberingAfterBreak="0">
    <w:nsid w:val="44E96665"/>
    <w:multiLevelType w:val="hybridMultilevel"/>
    <w:tmpl w:val="EF1E142A"/>
    <w:lvl w:ilvl="0" w:tplc="0D028B62">
      <w:start w:val="1"/>
      <w:numFmt w:val="bullet"/>
      <w:pStyle w:val="subclause3Bullet1"/>
      <w:lvlText w:val=""/>
      <w:lvlJc w:val="left"/>
      <w:pPr>
        <w:ind w:left="2988" w:hanging="360"/>
      </w:pPr>
      <w:rPr>
        <w:rFonts w:ascii="Symbol" w:hAnsi="Symbol" w:hint="default"/>
        <w:color w:val="000000"/>
      </w:rPr>
    </w:lvl>
    <w:lvl w:ilvl="1" w:tplc="A89C0A2C" w:tentative="1">
      <w:start w:val="1"/>
      <w:numFmt w:val="bullet"/>
      <w:lvlText w:val="o"/>
      <w:lvlJc w:val="left"/>
      <w:pPr>
        <w:ind w:left="3708" w:hanging="360"/>
      </w:pPr>
      <w:rPr>
        <w:rFonts w:ascii="Courier New" w:hAnsi="Courier New" w:cs="Courier New" w:hint="default"/>
      </w:rPr>
    </w:lvl>
    <w:lvl w:ilvl="2" w:tplc="776AA556" w:tentative="1">
      <w:start w:val="1"/>
      <w:numFmt w:val="bullet"/>
      <w:lvlText w:val=""/>
      <w:lvlJc w:val="left"/>
      <w:pPr>
        <w:ind w:left="4428" w:hanging="360"/>
      </w:pPr>
      <w:rPr>
        <w:rFonts w:ascii="Wingdings" w:hAnsi="Wingdings" w:hint="default"/>
      </w:rPr>
    </w:lvl>
    <w:lvl w:ilvl="3" w:tplc="47005FF2" w:tentative="1">
      <w:start w:val="1"/>
      <w:numFmt w:val="bullet"/>
      <w:lvlText w:val=""/>
      <w:lvlJc w:val="left"/>
      <w:pPr>
        <w:ind w:left="5148" w:hanging="360"/>
      </w:pPr>
      <w:rPr>
        <w:rFonts w:ascii="Symbol" w:hAnsi="Symbol" w:hint="default"/>
      </w:rPr>
    </w:lvl>
    <w:lvl w:ilvl="4" w:tplc="2B2C8930" w:tentative="1">
      <w:start w:val="1"/>
      <w:numFmt w:val="bullet"/>
      <w:lvlText w:val="o"/>
      <w:lvlJc w:val="left"/>
      <w:pPr>
        <w:ind w:left="5868" w:hanging="360"/>
      </w:pPr>
      <w:rPr>
        <w:rFonts w:ascii="Courier New" w:hAnsi="Courier New" w:cs="Courier New" w:hint="default"/>
      </w:rPr>
    </w:lvl>
    <w:lvl w:ilvl="5" w:tplc="904AF080" w:tentative="1">
      <w:start w:val="1"/>
      <w:numFmt w:val="bullet"/>
      <w:lvlText w:val=""/>
      <w:lvlJc w:val="left"/>
      <w:pPr>
        <w:ind w:left="6588" w:hanging="360"/>
      </w:pPr>
      <w:rPr>
        <w:rFonts w:ascii="Wingdings" w:hAnsi="Wingdings" w:hint="default"/>
      </w:rPr>
    </w:lvl>
    <w:lvl w:ilvl="6" w:tplc="05D4D002" w:tentative="1">
      <w:start w:val="1"/>
      <w:numFmt w:val="bullet"/>
      <w:lvlText w:val=""/>
      <w:lvlJc w:val="left"/>
      <w:pPr>
        <w:ind w:left="7308" w:hanging="360"/>
      </w:pPr>
      <w:rPr>
        <w:rFonts w:ascii="Symbol" w:hAnsi="Symbol" w:hint="default"/>
      </w:rPr>
    </w:lvl>
    <w:lvl w:ilvl="7" w:tplc="935C9A5C" w:tentative="1">
      <w:start w:val="1"/>
      <w:numFmt w:val="bullet"/>
      <w:lvlText w:val="o"/>
      <w:lvlJc w:val="left"/>
      <w:pPr>
        <w:ind w:left="8028" w:hanging="360"/>
      </w:pPr>
      <w:rPr>
        <w:rFonts w:ascii="Courier New" w:hAnsi="Courier New" w:cs="Courier New" w:hint="default"/>
      </w:rPr>
    </w:lvl>
    <w:lvl w:ilvl="8" w:tplc="6B3E9AC0" w:tentative="1">
      <w:start w:val="1"/>
      <w:numFmt w:val="bullet"/>
      <w:lvlText w:val=""/>
      <w:lvlJc w:val="left"/>
      <w:pPr>
        <w:ind w:left="8748" w:hanging="360"/>
      </w:pPr>
      <w:rPr>
        <w:rFonts w:ascii="Wingdings" w:hAnsi="Wingdings" w:hint="default"/>
      </w:rPr>
    </w:lvl>
  </w:abstractNum>
  <w:abstractNum w:abstractNumId="28" w15:restartNumberingAfterBreak="0">
    <w:nsid w:val="45ED58C9"/>
    <w:multiLevelType w:val="multilevel"/>
    <w:tmpl w:val="0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AC04C6"/>
    <w:multiLevelType w:val="hybridMultilevel"/>
    <w:tmpl w:val="E6C47700"/>
    <w:lvl w:ilvl="0" w:tplc="EA2AF562">
      <w:start w:val="1"/>
      <w:numFmt w:val="bullet"/>
      <w:pStyle w:val="subclause2Bullet1"/>
      <w:lvlText w:val=""/>
      <w:lvlJc w:val="left"/>
      <w:pPr>
        <w:ind w:left="2279" w:hanging="360"/>
      </w:pPr>
      <w:rPr>
        <w:rFonts w:ascii="Symbol" w:hAnsi="Symbol" w:hint="default"/>
        <w:color w:val="000000"/>
      </w:rPr>
    </w:lvl>
    <w:lvl w:ilvl="1" w:tplc="747A0D96" w:tentative="1">
      <w:start w:val="1"/>
      <w:numFmt w:val="bullet"/>
      <w:lvlText w:val="o"/>
      <w:lvlJc w:val="left"/>
      <w:pPr>
        <w:ind w:left="2999" w:hanging="360"/>
      </w:pPr>
      <w:rPr>
        <w:rFonts w:ascii="Courier New" w:hAnsi="Courier New" w:cs="Courier New" w:hint="default"/>
      </w:rPr>
    </w:lvl>
    <w:lvl w:ilvl="2" w:tplc="94F856C6" w:tentative="1">
      <w:start w:val="1"/>
      <w:numFmt w:val="bullet"/>
      <w:lvlText w:val=""/>
      <w:lvlJc w:val="left"/>
      <w:pPr>
        <w:ind w:left="3719" w:hanging="360"/>
      </w:pPr>
      <w:rPr>
        <w:rFonts w:ascii="Wingdings" w:hAnsi="Wingdings" w:hint="default"/>
      </w:rPr>
    </w:lvl>
    <w:lvl w:ilvl="3" w:tplc="63148D18" w:tentative="1">
      <w:start w:val="1"/>
      <w:numFmt w:val="bullet"/>
      <w:lvlText w:val=""/>
      <w:lvlJc w:val="left"/>
      <w:pPr>
        <w:ind w:left="4439" w:hanging="360"/>
      </w:pPr>
      <w:rPr>
        <w:rFonts w:ascii="Symbol" w:hAnsi="Symbol" w:hint="default"/>
      </w:rPr>
    </w:lvl>
    <w:lvl w:ilvl="4" w:tplc="46BC023A" w:tentative="1">
      <w:start w:val="1"/>
      <w:numFmt w:val="bullet"/>
      <w:lvlText w:val="o"/>
      <w:lvlJc w:val="left"/>
      <w:pPr>
        <w:ind w:left="5159" w:hanging="360"/>
      </w:pPr>
      <w:rPr>
        <w:rFonts w:ascii="Courier New" w:hAnsi="Courier New" w:cs="Courier New" w:hint="default"/>
      </w:rPr>
    </w:lvl>
    <w:lvl w:ilvl="5" w:tplc="D512D382" w:tentative="1">
      <w:start w:val="1"/>
      <w:numFmt w:val="bullet"/>
      <w:lvlText w:val=""/>
      <w:lvlJc w:val="left"/>
      <w:pPr>
        <w:ind w:left="5879" w:hanging="360"/>
      </w:pPr>
      <w:rPr>
        <w:rFonts w:ascii="Wingdings" w:hAnsi="Wingdings" w:hint="default"/>
      </w:rPr>
    </w:lvl>
    <w:lvl w:ilvl="6" w:tplc="ACACF4EE" w:tentative="1">
      <w:start w:val="1"/>
      <w:numFmt w:val="bullet"/>
      <w:lvlText w:val=""/>
      <w:lvlJc w:val="left"/>
      <w:pPr>
        <w:ind w:left="6599" w:hanging="360"/>
      </w:pPr>
      <w:rPr>
        <w:rFonts w:ascii="Symbol" w:hAnsi="Symbol" w:hint="default"/>
      </w:rPr>
    </w:lvl>
    <w:lvl w:ilvl="7" w:tplc="CEFC4C18" w:tentative="1">
      <w:start w:val="1"/>
      <w:numFmt w:val="bullet"/>
      <w:lvlText w:val="o"/>
      <w:lvlJc w:val="left"/>
      <w:pPr>
        <w:ind w:left="7319" w:hanging="360"/>
      </w:pPr>
      <w:rPr>
        <w:rFonts w:ascii="Courier New" w:hAnsi="Courier New" w:cs="Courier New" w:hint="default"/>
      </w:rPr>
    </w:lvl>
    <w:lvl w:ilvl="8" w:tplc="A2FE7DF2" w:tentative="1">
      <w:start w:val="1"/>
      <w:numFmt w:val="bullet"/>
      <w:lvlText w:val=""/>
      <w:lvlJc w:val="left"/>
      <w:pPr>
        <w:ind w:left="8039" w:hanging="360"/>
      </w:pPr>
      <w:rPr>
        <w:rFonts w:ascii="Wingdings" w:hAnsi="Wingdings" w:hint="default"/>
      </w:rPr>
    </w:lvl>
  </w:abstractNum>
  <w:abstractNum w:abstractNumId="30" w15:restartNumberingAfterBreak="0">
    <w:nsid w:val="47F42723"/>
    <w:multiLevelType w:val="hybridMultilevel"/>
    <w:tmpl w:val="C5A02EE6"/>
    <w:lvl w:ilvl="0" w:tplc="6C045A1A">
      <w:start w:val="1"/>
      <w:numFmt w:val="bullet"/>
      <w:pStyle w:val="subclause1Bullet1"/>
      <w:lvlText w:val=""/>
      <w:lvlJc w:val="left"/>
      <w:pPr>
        <w:ind w:left="1440" w:hanging="360"/>
      </w:pPr>
      <w:rPr>
        <w:rFonts w:ascii="Symbol" w:hAnsi="Symbol" w:hint="default"/>
        <w:color w:val="000000"/>
      </w:rPr>
    </w:lvl>
    <w:lvl w:ilvl="1" w:tplc="04DA658C" w:tentative="1">
      <w:start w:val="1"/>
      <w:numFmt w:val="bullet"/>
      <w:lvlText w:val="o"/>
      <w:lvlJc w:val="left"/>
      <w:pPr>
        <w:ind w:left="2160" w:hanging="360"/>
      </w:pPr>
      <w:rPr>
        <w:rFonts w:ascii="Courier New" w:hAnsi="Courier New" w:cs="Courier New" w:hint="default"/>
      </w:rPr>
    </w:lvl>
    <w:lvl w:ilvl="2" w:tplc="0C44DCF4" w:tentative="1">
      <w:start w:val="1"/>
      <w:numFmt w:val="bullet"/>
      <w:lvlText w:val=""/>
      <w:lvlJc w:val="left"/>
      <w:pPr>
        <w:ind w:left="2880" w:hanging="360"/>
      </w:pPr>
      <w:rPr>
        <w:rFonts w:ascii="Wingdings" w:hAnsi="Wingdings" w:hint="default"/>
      </w:rPr>
    </w:lvl>
    <w:lvl w:ilvl="3" w:tplc="10B4368E" w:tentative="1">
      <w:start w:val="1"/>
      <w:numFmt w:val="bullet"/>
      <w:lvlText w:val=""/>
      <w:lvlJc w:val="left"/>
      <w:pPr>
        <w:ind w:left="3600" w:hanging="360"/>
      </w:pPr>
      <w:rPr>
        <w:rFonts w:ascii="Symbol" w:hAnsi="Symbol" w:hint="default"/>
      </w:rPr>
    </w:lvl>
    <w:lvl w:ilvl="4" w:tplc="6E727626" w:tentative="1">
      <w:start w:val="1"/>
      <w:numFmt w:val="bullet"/>
      <w:lvlText w:val="o"/>
      <w:lvlJc w:val="left"/>
      <w:pPr>
        <w:ind w:left="4320" w:hanging="360"/>
      </w:pPr>
      <w:rPr>
        <w:rFonts w:ascii="Courier New" w:hAnsi="Courier New" w:cs="Courier New" w:hint="default"/>
      </w:rPr>
    </w:lvl>
    <w:lvl w:ilvl="5" w:tplc="2C5AEA76" w:tentative="1">
      <w:start w:val="1"/>
      <w:numFmt w:val="bullet"/>
      <w:lvlText w:val=""/>
      <w:lvlJc w:val="left"/>
      <w:pPr>
        <w:ind w:left="5040" w:hanging="360"/>
      </w:pPr>
      <w:rPr>
        <w:rFonts w:ascii="Wingdings" w:hAnsi="Wingdings" w:hint="default"/>
      </w:rPr>
    </w:lvl>
    <w:lvl w:ilvl="6" w:tplc="53D46DE4" w:tentative="1">
      <w:start w:val="1"/>
      <w:numFmt w:val="bullet"/>
      <w:lvlText w:val=""/>
      <w:lvlJc w:val="left"/>
      <w:pPr>
        <w:ind w:left="5760" w:hanging="360"/>
      </w:pPr>
      <w:rPr>
        <w:rFonts w:ascii="Symbol" w:hAnsi="Symbol" w:hint="default"/>
      </w:rPr>
    </w:lvl>
    <w:lvl w:ilvl="7" w:tplc="34948A38" w:tentative="1">
      <w:start w:val="1"/>
      <w:numFmt w:val="bullet"/>
      <w:lvlText w:val="o"/>
      <w:lvlJc w:val="left"/>
      <w:pPr>
        <w:ind w:left="6480" w:hanging="360"/>
      </w:pPr>
      <w:rPr>
        <w:rFonts w:ascii="Courier New" w:hAnsi="Courier New" w:cs="Courier New" w:hint="default"/>
      </w:rPr>
    </w:lvl>
    <w:lvl w:ilvl="8" w:tplc="F2041BB6" w:tentative="1">
      <w:start w:val="1"/>
      <w:numFmt w:val="bullet"/>
      <w:lvlText w:val=""/>
      <w:lvlJc w:val="left"/>
      <w:pPr>
        <w:ind w:left="7200" w:hanging="360"/>
      </w:pPr>
      <w:rPr>
        <w:rFonts w:ascii="Wingdings" w:hAnsi="Wingdings" w:hint="default"/>
      </w:rPr>
    </w:lvl>
  </w:abstractNum>
  <w:abstractNum w:abstractNumId="31"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5CB0AF0"/>
    <w:multiLevelType w:val="hybridMultilevel"/>
    <w:tmpl w:val="EB98B43A"/>
    <w:lvl w:ilvl="0" w:tplc="A13ADA7E">
      <w:start w:val="1"/>
      <w:numFmt w:val="decimal"/>
      <w:pStyle w:val="LongQuestionPara"/>
      <w:lvlText w:val="%1."/>
      <w:lvlJc w:val="left"/>
      <w:pPr>
        <w:ind w:left="360" w:hanging="360"/>
      </w:pPr>
      <w:rPr>
        <w:rFonts w:hint="default"/>
        <w:b/>
        <w:i w:val="0"/>
        <w:color w:val="000000"/>
        <w:sz w:val="24"/>
      </w:rPr>
    </w:lvl>
    <w:lvl w:ilvl="1" w:tplc="ABE632F8" w:tentative="1">
      <w:start w:val="1"/>
      <w:numFmt w:val="lowerLetter"/>
      <w:lvlText w:val="%2."/>
      <w:lvlJc w:val="left"/>
      <w:pPr>
        <w:ind w:left="1440" w:hanging="360"/>
      </w:pPr>
    </w:lvl>
    <w:lvl w:ilvl="2" w:tplc="B06C97F0" w:tentative="1">
      <w:start w:val="1"/>
      <w:numFmt w:val="lowerRoman"/>
      <w:lvlText w:val="%3."/>
      <w:lvlJc w:val="right"/>
      <w:pPr>
        <w:ind w:left="2160" w:hanging="180"/>
      </w:pPr>
    </w:lvl>
    <w:lvl w:ilvl="3" w:tplc="63ECD30E" w:tentative="1">
      <w:start w:val="1"/>
      <w:numFmt w:val="decimal"/>
      <w:lvlText w:val="%4."/>
      <w:lvlJc w:val="left"/>
      <w:pPr>
        <w:ind w:left="2880" w:hanging="360"/>
      </w:pPr>
    </w:lvl>
    <w:lvl w:ilvl="4" w:tplc="3C505A0A" w:tentative="1">
      <w:start w:val="1"/>
      <w:numFmt w:val="lowerLetter"/>
      <w:lvlText w:val="%5."/>
      <w:lvlJc w:val="left"/>
      <w:pPr>
        <w:ind w:left="3600" w:hanging="360"/>
      </w:pPr>
    </w:lvl>
    <w:lvl w:ilvl="5" w:tplc="AD82EB6C" w:tentative="1">
      <w:start w:val="1"/>
      <w:numFmt w:val="lowerRoman"/>
      <w:lvlText w:val="%6."/>
      <w:lvlJc w:val="right"/>
      <w:pPr>
        <w:ind w:left="4320" w:hanging="180"/>
      </w:pPr>
    </w:lvl>
    <w:lvl w:ilvl="6" w:tplc="1F9624B8" w:tentative="1">
      <w:start w:val="1"/>
      <w:numFmt w:val="decimal"/>
      <w:lvlText w:val="%7."/>
      <w:lvlJc w:val="left"/>
      <w:pPr>
        <w:ind w:left="5040" w:hanging="360"/>
      </w:pPr>
    </w:lvl>
    <w:lvl w:ilvl="7" w:tplc="F0B04190" w:tentative="1">
      <w:start w:val="1"/>
      <w:numFmt w:val="lowerLetter"/>
      <w:lvlText w:val="%8."/>
      <w:lvlJc w:val="left"/>
      <w:pPr>
        <w:ind w:left="5760" w:hanging="360"/>
      </w:pPr>
    </w:lvl>
    <w:lvl w:ilvl="8" w:tplc="83B68768" w:tentative="1">
      <w:start w:val="1"/>
      <w:numFmt w:val="lowerRoman"/>
      <w:lvlText w:val="%9."/>
      <w:lvlJc w:val="right"/>
      <w:pPr>
        <w:ind w:left="6480" w:hanging="180"/>
      </w:pPr>
    </w:lvl>
  </w:abstractNum>
  <w:abstractNum w:abstractNumId="33"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35" w15:restartNumberingAfterBreak="0">
    <w:nsid w:val="61071422"/>
    <w:multiLevelType w:val="hybridMultilevel"/>
    <w:tmpl w:val="59B858D8"/>
    <w:lvl w:ilvl="0" w:tplc="BB02BEA6">
      <w:start w:val="1"/>
      <w:numFmt w:val="bullet"/>
      <w:pStyle w:val="ClauseBullet1"/>
      <w:lvlText w:val=""/>
      <w:lvlJc w:val="left"/>
      <w:pPr>
        <w:ind w:left="1080" w:hanging="360"/>
      </w:pPr>
      <w:rPr>
        <w:rFonts w:ascii="Symbol" w:hAnsi="Symbol" w:hint="default"/>
        <w:color w:val="000000"/>
      </w:rPr>
    </w:lvl>
    <w:lvl w:ilvl="1" w:tplc="8E04CCBE" w:tentative="1">
      <w:start w:val="1"/>
      <w:numFmt w:val="bullet"/>
      <w:lvlText w:val="o"/>
      <w:lvlJc w:val="left"/>
      <w:pPr>
        <w:ind w:left="1800" w:hanging="360"/>
      </w:pPr>
      <w:rPr>
        <w:rFonts w:ascii="Courier New" w:hAnsi="Courier New" w:cs="Courier New" w:hint="default"/>
      </w:rPr>
    </w:lvl>
    <w:lvl w:ilvl="2" w:tplc="3DA2E672" w:tentative="1">
      <w:start w:val="1"/>
      <w:numFmt w:val="bullet"/>
      <w:lvlText w:val=""/>
      <w:lvlJc w:val="left"/>
      <w:pPr>
        <w:ind w:left="2520" w:hanging="360"/>
      </w:pPr>
      <w:rPr>
        <w:rFonts w:ascii="Wingdings" w:hAnsi="Wingdings" w:hint="default"/>
      </w:rPr>
    </w:lvl>
    <w:lvl w:ilvl="3" w:tplc="56128432" w:tentative="1">
      <w:start w:val="1"/>
      <w:numFmt w:val="bullet"/>
      <w:lvlText w:val=""/>
      <w:lvlJc w:val="left"/>
      <w:pPr>
        <w:ind w:left="3240" w:hanging="360"/>
      </w:pPr>
      <w:rPr>
        <w:rFonts w:ascii="Symbol" w:hAnsi="Symbol" w:hint="default"/>
      </w:rPr>
    </w:lvl>
    <w:lvl w:ilvl="4" w:tplc="FBEA0AB8" w:tentative="1">
      <w:start w:val="1"/>
      <w:numFmt w:val="bullet"/>
      <w:lvlText w:val="o"/>
      <w:lvlJc w:val="left"/>
      <w:pPr>
        <w:ind w:left="3960" w:hanging="360"/>
      </w:pPr>
      <w:rPr>
        <w:rFonts w:ascii="Courier New" w:hAnsi="Courier New" w:cs="Courier New" w:hint="default"/>
      </w:rPr>
    </w:lvl>
    <w:lvl w:ilvl="5" w:tplc="9DCC37B8" w:tentative="1">
      <w:start w:val="1"/>
      <w:numFmt w:val="bullet"/>
      <w:lvlText w:val=""/>
      <w:lvlJc w:val="left"/>
      <w:pPr>
        <w:ind w:left="4680" w:hanging="360"/>
      </w:pPr>
      <w:rPr>
        <w:rFonts w:ascii="Wingdings" w:hAnsi="Wingdings" w:hint="default"/>
      </w:rPr>
    </w:lvl>
    <w:lvl w:ilvl="6" w:tplc="14C083C8" w:tentative="1">
      <w:start w:val="1"/>
      <w:numFmt w:val="bullet"/>
      <w:lvlText w:val=""/>
      <w:lvlJc w:val="left"/>
      <w:pPr>
        <w:ind w:left="5400" w:hanging="360"/>
      </w:pPr>
      <w:rPr>
        <w:rFonts w:ascii="Symbol" w:hAnsi="Symbol" w:hint="default"/>
      </w:rPr>
    </w:lvl>
    <w:lvl w:ilvl="7" w:tplc="1B4EF196" w:tentative="1">
      <w:start w:val="1"/>
      <w:numFmt w:val="bullet"/>
      <w:lvlText w:val="o"/>
      <w:lvlJc w:val="left"/>
      <w:pPr>
        <w:ind w:left="6120" w:hanging="360"/>
      </w:pPr>
      <w:rPr>
        <w:rFonts w:ascii="Courier New" w:hAnsi="Courier New" w:cs="Courier New" w:hint="default"/>
      </w:rPr>
    </w:lvl>
    <w:lvl w:ilvl="8" w:tplc="A600E03E" w:tentative="1">
      <w:start w:val="1"/>
      <w:numFmt w:val="bullet"/>
      <w:lvlText w:val=""/>
      <w:lvlJc w:val="left"/>
      <w:pPr>
        <w:ind w:left="6840" w:hanging="360"/>
      </w:pPr>
      <w:rPr>
        <w:rFonts w:ascii="Wingdings" w:hAnsi="Wingdings" w:hint="default"/>
      </w:rPr>
    </w:lvl>
  </w:abstractNum>
  <w:abstractNum w:abstractNumId="36" w15:restartNumberingAfterBreak="0">
    <w:nsid w:val="642371CD"/>
    <w:multiLevelType w:val="hybridMultilevel"/>
    <w:tmpl w:val="3B76A654"/>
    <w:lvl w:ilvl="0" w:tplc="08502A96">
      <w:start w:val="1"/>
      <w:numFmt w:val="bullet"/>
      <w:pStyle w:val="subclause3Bullet2"/>
      <w:lvlText w:val=""/>
      <w:lvlJc w:val="left"/>
      <w:pPr>
        <w:ind w:left="3748" w:hanging="360"/>
      </w:pPr>
      <w:rPr>
        <w:rFonts w:ascii="Symbol" w:hAnsi="Symbol" w:hint="default"/>
        <w:color w:val="000000"/>
      </w:rPr>
    </w:lvl>
    <w:lvl w:ilvl="1" w:tplc="38B034B6" w:tentative="1">
      <w:start w:val="1"/>
      <w:numFmt w:val="bullet"/>
      <w:lvlText w:val="o"/>
      <w:lvlJc w:val="left"/>
      <w:pPr>
        <w:ind w:left="4468" w:hanging="360"/>
      </w:pPr>
      <w:rPr>
        <w:rFonts w:ascii="Courier New" w:hAnsi="Courier New" w:cs="Courier New" w:hint="default"/>
      </w:rPr>
    </w:lvl>
    <w:lvl w:ilvl="2" w:tplc="AE50C93C" w:tentative="1">
      <w:start w:val="1"/>
      <w:numFmt w:val="bullet"/>
      <w:lvlText w:val=""/>
      <w:lvlJc w:val="left"/>
      <w:pPr>
        <w:ind w:left="5188" w:hanging="360"/>
      </w:pPr>
      <w:rPr>
        <w:rFonts w:ascii="Wingdings" w:hAnsi="Wingdings" w:hint="default"/>
      </w:rPr>
    </w:lvl>
    <w:lvl w:ilvl="3" w:tplc="C1405BFA" w:tentative="1">
      <w:start w:val="1"/>
      <w:numFmt w:val="bullet"/>
      <w:lvlText w:val=""/>
      <w:lvlJc w:val="left"/>
      <w:pPr>
        <w:ind w:left="5908" w:hanging="360"/>
      </w:pPr>
      <w:rPr>
        <w:rFonts w:ascii="Symbol" w:hAnsi="Symbol" w:hint="default"/>
      </w:rPr>
    </w:lvl>
    <w:lvl w:ilvl="4" w:tplc="D97E5244" w:tentative="1">
      <w:start w:val="1"/>
      <w:numFmt w:val="bullet"/>
      <w:lvlText w:val="o"/>
      <w:lvlJc w:val="left"/>
      <w:pPr>
        <w:ind w:left="6628" w:hanging="360"/>
      </w:pPr>
      <w:rPr>
        <w:rFonts w:ascii="Courier New" w:hAnsi="Courier New" w:cs="Courier New" w:hint="default"/>
      </w:rPr>
    </w:lvl>
    <w:lvl w:ilvl="5" w:tplc="95A8EDC6" w:tentative="1">
      <w:start w:val="1"/>
      <w:numFmt w:val="bullet"/>
      <w:lvlText w:val=""/>
      <w:lvlJc w:val="left"/>
      <w:pPr>
        <w:ind w:left="7348" w:hanging="360"/>
      </w:pPr>
      <w:rPr>
        <w:rFonts w:ascii="Wingdings" w:hAnsi="Wingdings" w:hint="default"/>
      </w:rPr>
    </w:lvl>
    <w:lvl w:ilvl="6" w:tplc="89F0216C" w:tentative="1">
      <w:start w:val="1"/>
      <w:numFmt w:val="bullet"/>
      <w:lvlText w:val=""/>
      <w:lvlJc w:val="left"/>
      <w:pPr>
        <w:ind w:left="8068" w:hanging="360"/>
      </w:pPr>
      <w:rPr>
        <w:rFonts w:ascii="Symbol" w:hAnsi="Symbol" w:hint="default"/>
      </w:rPr>
    </w:lvl>
    <w:lvl w:ilvl="7" w:tplc="A71C573E" w:tentative="1">
      <w:start w:val="1"/>
      <w:numFmt w:val="bullet"/>
      <w:lvlText w:val="o"/>
      <w:lvlJc w:val="left"/>
      <w:pPr>
        <w:ind w:left="8788" w:hanging="360"/>
      </w:pPr>
      <w:rPr>
        <w:rFonts w:ascii="Courier New" w:hAnsi="Courier New" w:cs="Courier New" w:hint="default"/>
      </w:rPr>
    </w:lvl>
    <w:lvl w:ilvl="8" w:tplc="43ACA456" w:tentative="1">
      <w:start w:val="1"/>
      <w:numFmt w:val="bullet"/>
      <w:lvlText w:val=""/>
      <w:lvlJc w:val="left"/>
      <w:pPr>
        <w:ind w:left="9508" w:hanging="360"/>
      </w:pPr>
      <w:rPr>
        <w:rFonts w:ascii="Wingdings" w:hAnsi="Wingdings" w:hint="default"/>
      </w:rPr>
    </w:lvl>
  </w:abstractNum>
  <w:abstractNum w:abstractNumId="37" w15:restartNumberingAfterBreak="0">
    <w:nsid w:val="664D6A5B"/>
    <w:multiLevelType w:val="multilevel"/>
    <w:tmpl w:val="08090023"/>
    <w:lvl w:ilvl="0">
      <w:start w:val="1"/>
      <w:numFmt w:val="upperRoman"/>
      <w:lvlText w:val="Article %1."/>
      <w:lvlJc w:val="left"/>
      <w:pPr>
        <w:ind w:left="0" w:firstLine="0"/>
      </w:pPr>
      <w:rPr>
        <w:rFonts w:ascii="Times New Roman" w:hAnsi="Times New Roman" w:cs="Times New Roman"/>
        <w:sz w:val="24"/>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C37755"/>
    <w:multiLevelType w:val="hybridMultilevel"/>
    <w:tmpl w:val="EF2AB680"/>
    <w:lvl w:ilvl="0" w:tplc="9F3A1166">
      <w:start w:val="1"/>
      <w:numFmt w:val="lowerLetter"/>
      <w:lvlText w:val="%1)"/>
      <w:lvlJc w:val="left"/>
      <w:pPr>
        <w:ind w:left="1211" w:hanging="360"/>
      </w:pPr>
      <w:rPr>
        <w:rFonts w:eastAsiaTheme="minorHAnsi"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71232D24"/>
    <w:multiLevelType w:val="multilevel"/>
    <w:tmpl w:val="09763F60"/>
    <w:name w:val="Single Schedule"/>
    <w:lvl w:ilvl="0">
      <w:start w:val="1"/>
      <w:numFmt w:val="none"/>
      <w:pStyle w:val="ScheduleHeadingSingle"/>
      <w:suff w:val="nothing"/>
      <w:lvlText w:val="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7819726">
    <w:abstractNumId w:val="19"/>
  </w:num>
  <w:num w:numId="2" w16cid:durableId="467625697">
    <w:abstractNumId w:val="23"/>
  </w:num>
  <w:num w:numId="3" w16cid:durableId="34744119">
    <w:abstractNumId w:val="21"/>
  </w:num>
  <w:num w:numId="4" w16cid:durableId="2100443372">
    <w:abstractNumId w:val="20"/>
  </w:num>
  <w:num w:numId="5" w16cid:durableId="1475951184">
    <w:abstractNumId w:val="32"/>
  </w:num>
  <w:num w:numId="6" w16cid:durableId="264844084">
    <w:abstractNumId w:val="35"/>
  </w:num>
  <w:num w:numId="7" w16cid:durableId="1710757426">
    <w:abstractNumId w:val="24"/>
  </w:num>
  <w:num w:numId="8" w16cid:durableId="6251229">
    <w:abstractNumId w:val="30"/>
  </w:num>
  <w:num w:numId="9" w16cid:durableId="794837102">
    <w:abstractNumId w:val="27"/>
  </w:num>
  <w:num w:numId="10" w16cid:durableId="1747992385">
    <w:abstractNumId w:val="29"/>
  </w:num>
  <w:num w:numId="11" w16cid:durableId="137848757">
    <w:abstractNumId w:val="26"/>
  </w:num>
  <w:num w:numId="12" w16cid:durableId="1463573344">
    <w:abstractNumId w:val="22"/>
  </w:num>
  <w:num w:numId="13" w16cid:durableId="989019736">
    <w:abstractNumId w:val="36"/>
  </w:num>
  <w:num w:numId="14" w16cid:durableId="1003167454">
    <w:abstractNumId w:val="12"/>
  </w:num>
  <w:num w:numId="15" w16cid:durableId="2067609242">
    <w:abstractNumId w:val="16"/>
  </w:num>
  <w:num w:numId="16" w16cid:durableId="1489321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0697083">
    <w:abstractNumId w:val="38"/>
  </w:num>
  <w:num w:numId="18" w16cid:durableId="1805003609">
    <w:abstractNumId w:val="17"/>
  </w:num>
  <w:num w:numId="19" w16cid:durableId="1553274207">
    <w:abstractNumId w:val="15"/>
  </w:num>
  <w:num w:numId="20" w16cid:durableId="1429234393">
    <w:abstractNumId w:val="25"/>
  </w:num>
  <w:num w:numId="21" w16cid:durableId="1023551875">
    <w:abstractNumId w:val="31"/>
  </w:num>
  <w:num w:numId="22" w16cid:durableId="1448037125">
    <w:abstractNumId w:val="34"/>
  </w:num>
  <w:num w:numId="23" w16cid:durableId="56053602">
    <w:abstractNumId w:val="13"/>
  </w:num>
  <w:num w:numId="24" w16cid:durableId="498931097">
    <w:abstractNumId w:val="18"/>
  </w:num>
  <w:num w:numId="25" w16cid:durableId="1842692627">
    <w:abstractNumId w:val="10"/>
  </w:num>
  <w:num w:numId="26" w16cid:durableId="781193750">
    <w:abstractNumId w:val="40"/>
  </w:num>
  <w:num w:numId="27" w16cid:durableId="1659462506">
    <w:abstractNumId w:val="33"/>
  </w:num>
  <w:num w:numId="28" w16cid:durableId="1073087209">
    <w:abstractNumId w:val="28"/>
  </w:num>
  <w:num w:numId="29" w16cid:durableId="946354132">
    <w:abstractNumId w:val="39"/>
  </w:num>
  <w:num w:numId="30" w16cid:durableId="953436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7414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00527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98193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5316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1932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2938991">
    <w:abstractNumId w:val="14"/>
  </w:num>
  <w:num w:numId="37" w16cid:durableId="1270775228">
    <w:abstractNumId w:val="37"/>
  </w:num>
  <w:num w:numId="38" w16cid:durableId="1122190793">
    <w:abstractNumId w:val="9"/>
  </w:num>
  <w:num w:numId="39" w16cid:durableId="809324874">
    <w:abstractNumId w:val="7"/>
  </w:num>
  <w:num w:numId="40" w16cid:durableId="156700442">
    <w:abstractNumId w:val="6"/>
  </w:num>
  <w:num w:numId="41" w16cid:durableId="1861704284">
    <w:abstractNumId w:val="5"/>
  </w:num>
  <w:num w:numId="42" w16cid:durableId="236790749">
    <w:abstractNumId w:val="4"/>
  </w:num>
  <w:num w:numId="43" w16cid:durableId="597831101">
    <w:abstractNumId w:val="8"/>
  </w:num>
  <w:num w:numId="44" w16cid:durableId="2076125709">
    <w:abstractNumId w:val="3"/>
  </w:num>
  <w:num w:numId="45" w16cid:durableId="852645872">
    <w:abstractNumId w:val="2"/>
  </w:num>
  <w:num w:numId="46" w16cid:durableId="1383671573">
    <w:abstractNumId w:val="1"/>
  </w:num>
  <w:num w:numId="47" w16cid:durableId="205974455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741F77EE-6420-4997-A1D7-13DADBC1BA56}"/>
  </w:docVars>
  <w:rsids>
    <w:rsidRoot w:val="00A71A8B"/>
    <w:rsid w:val="001E3864"/>
    <w:rsid w:val="00223A9C"/>
    <w:rsid w:val="004301F7"/>
    <w:rsid w:val="00441745"/>
    <w:rsid w:val="00467000"/>
    <w:rsid w:val="005354B7"/>
    <w:rsid w:val="005712F4"/>
    <w:rsid w:val="00683CCB"/>
    <w:rsid w:val="00691BC0"/>
    <w:rsid w:val="007178FD"/>
    <w:rsid w:val="007A3A77"/>
    <w:rsid w:val="007D1E37"/>
    <w:rsid w:val="00855D72"/>
    <w:rsid w:val="00866831"/>
    <w:rsid w:val="00911F6A"/>
    <w:rsid w:val="0093283F"/>
    <w:rsid w:val="00A71A8B"/>
    <w:rsid w:val="00AE2C1F"/>
    <w:rsid w:val="00B15D0C"/>
    <w:rsid w:val="00BB5CE1"/>
    <w:rsid w:val="00BF2EA7"/>
    <w:rsid w:val="00C51CEE"/>
    <w:rsid w:val="00F372EA"/>
    <w:rsid w:val="00FA693D"/>
    <w:rsid w:val="00FE7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9818F"/>
  <w15:docId w15:val="{503FAB41-D3FE-45AA-BEE9-4E670037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5D0C"/>
    <w:pPr>
      <w:spacing w:after="0" w:line="240" w:lineRule="auto"/>
    </w:pPr>
    <w:rPr>
      <w:rFonts w:ascii="Arial" w:eastAsiaTheme="minorHAnsi" w:hAnsi="Arial" w:cs="Arial"/>
      <w:sz w:val="20"/>
      <w:szCs w:val="20"/>
      <w:lang w:eastAsia="en-US"/>
    </w:rPr>
  </w:style>
  <w:style w:type="paragraph" w:styleId="Heading1">
    <w:name w:val="heading 1"/>
    <w:aliases w:val="TSBONE,Numbered - 1,Clause,Heading 1 Char1 Char,Heading 1 Char Char Char,Heading 1 Char3 Char Char Char,Heading 1 Char2 Char Char Char Char,Heading 1 Char1 Char Char Char Char Char,Heading 1 Char Char Char Char Char Char Char,Heading 11,1,h1"/>
    <w:next w:val="Body1"/>
    <w:link w:val="Heading1Char"/>
    <w:uiPriority w:val="1"/>
    <w:rsid w:val="00B15D0C"/>
    <w:pPr>
      <w:keepNext/>
      <w:numPr>
        <w:numId w:val="35"/>
      </w:numPr>
      <w:spacing w:after="240" w:line="240" w:lineRule="auto"/>
      <w:jc w:val="both"/>
      <w:outlineLvl w:val="0"/>
    </w:pPr>
    <w:rPr>
      <w:rFonts w:ascii="Arial" w:eastAsia="Times New Roman" w:hAnsi="Arial" w:cs="Times New Roman"/>
      <w:b/>
      <w:color w:val="000000" w:themeColor="text1"/>
      <w:sz w:val="20"/>
      <w:szCs w:val="20"/>
    </w:rPr>
  </w:style>
  <w:style w:type="paragraph" w:styleId="Heading2">
    <w:name w:val="heading 2"/>
    <w:aliases w:val="TSBTWO,TSBTWO + 11 pt,Condensed by  0.1 pt,Numbered - 2,H2,Annex2,Heading 2 Char1 Char,Heading 2 Char Char Char,Heading 2 Char2 Char Char Char,Heading 2 Char1 Char Char Char Char,Heading 2 Char Char Char Char Char Char,Centred Heading,Major,2"/>
    <w:link w:val="Heading2Char"/>
    <w:uiPriority w:val="1"/>
    <w:rsid w:val="00B15D0C"/>
    <w:pPr>
      <w:numPr>
        <w:ilvl w:val="1"/>
        <w:numId w:val="35"/>
      </w:numPr>
      <w:spacing w:after="240" w:line="240" w:lineRule="auto"/>
      <w:jc w:val="both"/>
      <w:outlineLvl w:val="1"/>
    </w:pPr>
    <w:rPr>
      <w:rFonts w:ascii="Arial" w:eastAsia="Times New Roman" w:hAnsi="Arial" w:cs="Times New Roman"/>
      <w:color w:val="000000" w:themeColor="text1"/>
      <w:sz w:val="20"/>
      <w:szCs w:val="20"/>
    </w:rPr>
  </w:style>
  <w:style w:type="paragraph" w:styleId="Heading3">
    <w:name w:val="heading 3"/>
    <w:aliases w:val="TSBTHREE,Numbered - 3,Level 2 heading,Lev 3,Heading 3 Char1,Heading 3 Char Char1,Heading 3 Char2 Char Char,Heading 3 Char Char2 Char Char,Heading 3 Char1 Char Char Char Char,Heading 3 Char Char1 Char Char Char Char,h3,Subparagraafkop,(Alt+3),3"/>
    <w:link w:val="Heading3Char"/>
    <w:uiPriority w:val="1"/>
    <w:rsid w:val="00B15D0C"/>
    <w:pPr>
      <w:numPr>
        <w:ilvl w:val="2"/>
        <w:numId w:val="35"/>
      </w:numPr>
      <w:spacing w:after="240" w:line="240" w:lineRule="auto"/>
      <w:jc w:val="both"/>
      <w:outlineLvl w:val="2"/>
    </w:pPr>
    <w:rPr>
      <w:rFonts w:ascii="Arial" w:eastAsia="Times New Roman" w:hAnsi="Arial" w:cs="Times New Roman"/>
      <w:color w:val="000000" w:themeColor="text1"/>
      <w:sz w:val="20"/>
      <w:szCs w:val="20"/>
    </w:rPr>
  </w:style>
  <w:style w:type="paragraph" w:styleId="Heading4">
    <w:name w:val="heading 4"/>
    <w:aliases w:val="TSBFOUR,Numbered - 4,Heading 4 Char2,Heading 4 Char Char1,Heading 4 Char1 Char Char1,Heading 4 Char Char Char Char1,Heading 4 Char1 Char Char Char Char,Heading 4 Char Char Char Char Char Char,Heading 4 Char1 Char1,Heading 4 Char Char Char1,(i)"/>
    <w:link w:val="Heading4Char"/>
    <w:uiPriority w:val="1"/>
    <w:rsid w:val="00B15D0C"/>
    <w:pPr>
      <w:numPr>
        <w:ilvl w:val="3"/>
        <w:numId w:val="35"/>
      </w:numPr>
      <w:spacing w:after="240" w:line="240" w:lineRule="auto"/>
      <w:jc w:val="both"/>
      <w:outlineLvl w:val="3"/>
    </w:pPr>
    <w:rPr>
      <w:rFonts w:ascii="Arial" w:eastAsia="Times New Roman" w:hAnsi="Arial" w:cs="Times New Roman"/>
      <w:color w:val="000000" w:themeColor="text1"/>
      <w:sz w:val="20"/>
      <w:szCs w:val="20"/>
    </w:rPr>
  </w:style>
  <w:style w:type="paragraph" w:styleId="Heading5">
    <w:name w:val="heading 5"/>
    <w:aliases w:val="Numbered - 5,Heading 5 Char1 Char,Heading 5 Char Char Char,Heading 5 Char1 Char Char Char,Heading 5 Char Char Char Char Char,Heading 5 Char1 Char1,Heading 5 Char Char Char1,Heading 51,Heading 511,h5,Lev 5,Level 3 - i,s,Heading 5*,ITT t5,test"/>
    <w:link w:val="Heading5Char"/>
    <w:uiPriority w:val="1"/>
    <w:rsid w:val="00B15D0C"/>
    <w:pPr>
      <w:numPr>
        <w:ilvl w:val="4"/>
        <w:numId w:val="35"/>
      </w:numPr>
      <w:spacing w:after="240" w:line="240" w:lineRule="auto"/>
      <w:jc w:val="both"/>
      <w:outlineLvl w:val="4"/>
    </w:pPr>
    <w:rPr>
      <w:rFonts w:ascii="Arial" w:eastAsia="Times New Roman" w:hAnsi="Arial" w:cs="Times New Roman"/>
      <w:color w:val="000000" w:themeColor="text1"/>
      <w:sz w:val="20"/>
      <w:szCs w:val="20"/>
    </w:rPr>
  </w:style>
  <w:style w:type="paragraph" w:styleId="Heading6">
    <w:name w:val="heading 6"/>
    <w:aliases w:val="Lev 6,Numbered - 6,Lev 61,Numbered - 61,Lev 62,Numbered - 62,Lev 63,Numbered - 63,ITT t6,PA Appendix,Legal Level 1.,bullet2,h6,Heading 6  Appendix Y &amp; Z,Normal diagram,level 6,H6,T1,L1 PIP,Name of Org,6,Heading 6 Interstar,level6,LWH6,(I),sd"/>
    <w:link w:val="Heading6Char"/>
    <w:uiPriority w:val="1"/>
    <w:rsid w:val="00B15D0C"/>
    <w:pPr>
      <w:numPr>
        <w:ilvl w:val="5"/>
        <w:numId w:val="35"/>
      </w:numPr>
      <w:spacing w:after="240" w:line="240" w:lineRule="auto"/>
      <w:jc w:val="both"/>
      <w:outlineLvl w:val="5"/>
    </w:pPr>
    <w:rPr>
      <w:rFonts w:ascii="Arial" w:eastAsia="Times New Roman" w:hAnsi="Arial" w:cs="Times New Roman"/>
      <w:color w:val="000000" w:themeColor="text1"/>
      <w:sz w:val="20"/>
      <w:szCs w:val="20"/>
    </w:rPr>
  </w:style>
  <w:style w:type="paragraph" w:styleId="Heading7">
    <w:name w:val="heading 7"/>
    <w:basedOn w:val="Normal"/>
    <w:next w:val="Normal"/>
    <w:link w:val="Heading7Char"/>
    <w:uiPriority w:val="99"/>
    <w:semiHidden/>
    <w:qFormat/>
    <w:rsid w:val="00B15D0C"/>
    <w:pPr>
      <w:jc w:val="both"/>
      <w:outlineLvl w:val="6"/>
    </w:pPr>
  </w:style>
  <w:style w:type="paragraph" w:styleId="Heading8">
    <w:name w:val="heading 8"/>
    <w:basedOn w:val="Normal"/>
    <w:next w:val="Normal"/>
    <w:link w:val="Heading8Char"/>
    <w:uiPriority w:val="99"/>
    <w:semiHidden/>
    <w:qFormat/>
    <w:rsid w:val="00B15D0C"/>
    <w:pPr>
      <w:jc w:val="both"/>
      <w:outlineLvl w:val="7"/>
    </w:pPr>
  </w:style>
  <w:style w:type="paragraph" w:styleId="Heading9">
    <w:name w:val="heading 9"/>
    <w:basedOn w:val="Normal"/>
    <w:next w:val="Normal"/>
    <w:link w:val="Heading9Char"/>
    <w:uiPriority w:val="99"/>
    <w:semiHidden/>
    <w:qFormat/>
    <w:rsid w:val="00B15D0C"/>
    <w:pPr>
      <w:jc w:val="both"/>
      <w:outlineLvl w:val="8"/>
    </w:pPr>
  </w:style>
  <w:style w:type="character" w:default="1" w:styleId="DefaultParagraphFont">
    <w:name w:val="Default Paragraph Font"/>
    <w:uiPriority w:val="1"/>
    <w:semiHidden/>
    <w:unhideWhenUsed/>
    <w:rsid w:val="00B15D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D0C"/>
  </w:style>
  <w:style w:type="paragraph" w:customStyle="1" w:styleId="Abstract">
    <w:name w:val="Abstract"/>
    <w:link w:val="AbstractChar"/>
    <w:rsid w:val="00EC2393"/>
    <w:pPr>
      <w:spacing w:after="120" w:line="240" w:lineRule="auto"/>
    </w:pPr>
    <w:rPr>
      <w:rFonts w:ascii="Arial" w:eastAsia="Arial Unicode MS" w:hAnsi="Arial" w:cs="Arial"/>
      <w:color w:val="000000"/>
      <w:sz w:val="24"/>
      <w:szCs w:val="24"/>
      <w:lang w:val="en-US" w:eastAsia="en-US"/>
    </w:rPr>
  </w:style>
  <w:style w:type="character" w:customStyle="1" w:styleId="AbstractChar">
    <w:name w:val="Abstract Char"/>
    <w:link w:val="Abstract"/>
    <w:rsid w:val="00EC2393"/>
    <w:rPr>
      <w:rFonts w:ascii="Arial" w:eastAsia="Arial Unicode MS" w:hAnsi="Arial" w:cs="Arial"/>
      <w:color w:val="000000"/>
      <w:sz w:val="24"/>
      <w:szCs w:val="24"/>
      <w:lang w:val="en-US" w:eastAsia="en-US"/>
    </w:rPr>
  </w:style>
  <w:style w:type="paragraph" w:customStyle="1" w:styleId="Annex">
    <w:name w:val="Annex"/>
    <w:basedOn w:val="Paragraph"/>
    <w:next w:val="Paragraph"/>
    <w:qFormat/>
    <w:rsid w:val="00EC2393"/>
    <w:pPr>
      <w:numPr>
        <w:numId w:val="4"/>
      </w:numPr>
      <w:spacing w:before="240" w:after="240"/>
      <w:ind w:left="0" w:firstLine="0"/>
    </w:pPr>
    <w:rPr>
      <w:b/>
    </w:rPr>
  </w:style>
  <w:style w:type="paragraph" w:customStyle="1" w:styleId="AuthoringGroup">
    <w:name w:val="Authoring Group"/>
    <w:link w:val="AuthoringGroupChar"/>
    <w:rsid w:val="00EC2393"/>
    <w:pPr>
      <w:spacing w:after="120" w:line="240" w:lineRule="auto"/>
    </w:pPr>
    <w:rPr>
      <w:rFonts w:ascii="Arial" w:eastAsia="Arial Unicode MS" w:hAnsi="Arial" w:cs="Arial"/>
      <w:color w:val="000000"/>
      <w:sz w:val="24"/>
      <w:lang w:val="en-US" w:eastAsia="en-US"/>
    </w:rPr>
  </w:style>
  <w:style w:type="character" w:customStyle="1" w:styleId="AuthoringGroupChar">
    <w:name w:val="Authoring Group Char"/>
    <w:link w:val="AuthoringGroup"/>
    <w:rsid w:val="00EC2393"/>
    <w:rPr>
      <w:rFonts w:ascii="Arial" w:eastAsia="Arial Unicode MS" w:hAnsi="Arial" w:cs="Arial"/>
      <w:color w:val="000000"/>
      <w:sz w:val="24"/>
      <w:lang w:val="en-US" w:eastAsia="en-US"/>
    </w:rPr>
  </w:style>
  <w:style w:type="paragraph" w:customStyle="1" w:styleId="Background">
    <w:name w:val="Background"/>
    <w:aliases w:val="(A) Background"/>
    <w:uiPriority w:val="1"/>
    <w:rsid w:val="00B15D0C"/>
    <w:pPr>
      <w:numPr>
        <w:numId w:val="24"/>
      </w:numPr>
      <w:spacing w:after="240" w:line="240" w:lineRule="auto"/>
      <w:jc w:val="both"/>
    </w:pPr>
    <w:rPr>
      <w:rFonts w:ascii="Arial" w:eastAsia="Times New Roman" w:hAnsi="Arial" w:cs="Times New Roman"/>
      <w:color w:val="000000" w:themeColor="text1"/>
      <w:sz w:val="20"/>
      <w:szCs w:val="20"/>
    </w:rPr>
  </w:style>
  <w:style w:type="paragraph" w:customStyle="1" w:styleId="BulletList1">
    <w:name w:val="Bullet List 1"/>
    <w:aliases w:val="Bullet1"/>
    <w:uiPriority w:val="1"/>
    <w:rsid w:val="00B15D0C"/>
    <w:pPr>
      <w:numPr>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2">
    <w:name w:val="Bullet List 2"/>
    <w:aliases w:val="Bullet2"/>
    <w:uiPriority w:val="1"/>
    <w:rsid w:val="00B15D0C"/>
    <w:pPr>
      <w:numPr>
        <w:ilvl w:val="1"/>
        <w:numId w:val="19"/>
      </w:numPr>
      <w:spacing w:after="0" w:line="240" w:lineRule="auto"/>
      <w:jc w:val="both"/>
    </w:pPr>
    <w:rPr>
      <w:rFonts w:ascii="Arial" w:eastAsia="Times New Roman" w:hAnsi="Arial" w:cs="Times New Roman"/>
      <w:color w:val="000000" w:themeColor="text1"/>
      <w:sz w:val="20"/>
      <w:szCs w:val="20"/>
    </w:rPr>
  </w:style>
  <w:style w:type="paragraph" w:customStyle="1" w:styleId="BulletList3">
    <w:name w:val="Bullet List 3"/>
    <w:aliases w:val="Bullet3"/>
    <w:uiPriority w:val="1"/>
    <w:rsid w:val="00B15D0C"/>
    <w:pPr>
      <w:numPr>
        <w:ilvl w:val="2"/>
        <w:numId w:val="19"/>
      </w:numPr>
      <w:spacing w:after="0" w:line="240" w:lineRule="auto"/>
      <w:jc w:val="both"/>
    </w:pPr>
    <w:rPr>
      <w:rFonts w:ascii="Arial" w:eastAsia="Times New Roman" w:hAnsi="Arial" w:cs="Times New Roman"/>
      <w:color w:val="000000" w:themeColor="text1"/>
      <w:sz w:val="20"/>
      <w:szCs w:val="20"/>
    </w:rPr>
  </w:style>
  <w:style w:type="paragraph" w:customStyle="1" w:styleId="TitleClause">
    <w:name w:val="Title Clause"/>
    <w:basedOn w:val="Normal"/>
    <w:rsid w:val="00EC2393"/>
    <w:pPr>
      <w:keepNext/>
      <w:numPr>
        <w:numId w:val="16"/>
      </w:numPr>
      <w:spacing w:before="240" w:after="240" w:line="300" w:lineRule="atLeast"/>
      <w:jc w:val="both"/>
      <w:outlineLvl w:val="0"/>
    </w:pPr>
    <w:rPr>
      <w:rFonts w:eastAsia="Arial Unicode MS"/>
      <w:b/>
      <w:color w:val="000000"/>
      <w:kern w:val="28"/>
    </w:rPr>
  </w:style>
  <w:style w:type="paragraph" w:customStyle="1" w:styleId="ClauseNoTitle">
    <w:name w:val="Clause No Title"/>
    <w:basedOn w:val="TitleClause"/>
    <w:rsid w:val="00EC2393"/>
    <w:rPr>
      <w:b w:val="0"/>
      <w:smallCaps/>
    </w:rPr>
  </w:style>
  <w:style w:type="paragraph" w:customStyle="1" w:styleId="ClosingPara">
    <w:name w:val="Closing Para"/>
    <w:basedOn w:val="Normal"/>
    <w:rsid w:val="00EC2393"/>
    <w:pPr>
      <w:spacing w:before="120" w:after="240" w:line="300" w:lineRule="atLeast"/>
      <w:jc w:val="both"/>
    </w:pPr>
    <w:rPr>
      <w:rFonts w:eastAsia="Arial Unicode MS"/>
      <w:color w:val="000000"/>
    </w:rPr>
  </w:style>
  <w:style w:type="paragraph" w:customStyle="1" w:styleId="ClosingSignOff">
    <w:name w:val="Closing SignOff"/>
    <w:basedOn w:val="Normal"/>
    <w:rsid w:val="00EC2393"/>
    <w:pPr>
      <w:spacing w:after="120" w:line="300" w:lineRule="atLeast"/>
      <w:jc w:val="both"/>
    </w:pPr>
    <w:rPr>
      <w:rFonts w:eastAsia="Arial Unicode MS"/>
      <w:color w:val="000000"/>
    </w:rPr>
  </w:style>
  <w:style w:type="paragraph" w:customStyle="1" w:styleId="CoversheetTitle">
    <w:name w:val="Coversheet Title"/>
    <w:basedOn w:val="Normal"/>
    <w:autoRedefine/>
    <w:rsid w:val="00EC2393"/>
    <w:pPr>
      <w:spacing w:before="480" w:after="480" w:line="300" w:lineRule="atLeast"/>
      <w:jc w:val="center"/>
    </w:pPr>
    <w:rPr>
      <w:rFonts w:eastAsia="Arial Unicode MS"/>
      <w:b/>
      <w:smallCaps/>
      <w:color w:val="000000"/>
      <w:sz w:val="28"/>
    </w:rPr>
  </w:style>
  <w:style w:type="paragraph" w:customStyle="1" w:styleId="CoverSheetHeading">
    <w:name w:val="Cover Sheet Heading"/>
    <w:aliases w:val="Coversheet Title2"/>
    <w:basedOn w:val="CoversheetTitle"/>
    <w:rsid w:val="00EC2393"/>
  </w:style>
  <w:style w:type="paragraph" w:customStyle="1" w:styleId="CoverSheetSubjectText">
    <w:name w:val="Cover Sheet Subject Text"/>
    <w:basedOn w:val="Normal"/>
    <w:rsid w:val="00EC2393"/>
    <w:pPr>
      <w:spacing w:line="300" w:lineRule="atLeast"/>
      <w:jc w:val="center"/>
    </w:pPr>
    <w:rPr>
      <w:rFonts w:eastAsia="Arial Unicode MS"/>
      <w:color w:val="000000"/>
    </w:rPr>
  </w:style>
  <w:style w:type="paragraph" w:customStyle="1" w:styleId="CoverSheetSubjectTitle">
    <w:name w:val="Cover Sheet Subject Title"/>
    <w:basedOn w:val="Normal"/>
    <w:rsid w:val="00EC2393"/>
    <w:pPr>
      <w:spacing w:line="300" w:lineRule="atLeast"/>
      <w:jc w:val="center"/>
    </w:pPr>
    <w:rPr>
      <w:rFonts w:eastAsia="Arial Unicode MS"/>
      <w:color w:val="000000"/>
    </w:rPr>
  </w:style>
  <w:style w:type="paragraph" w:customStyle="1" w:styleId="DefinedTermPara">
    <w:name w:val="Defined Term Para"/>
    <w:basedOn w:val="Paragraph"/>
    <w:qFormat/>
    <w:rsid w:val="00EC2393"/>
    <w:pPr>
      <w:numPr>
        <w:numId w:val="17"/>
      </w:numPr>
    </w:pPr>
  </w:style>
  <w:style w:type="paragraph" w:customStyle="1" w:styleId="DescriptiveHeading">
    <w:name w:val="DescriptiveHeading"/>
    <w:next w:val="Paragraph"/>
    <w:link w:val="DescriptiveHeadingChar"/>
    <w:rsid w:val="00EC2393"/>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EC2393"/>
    <w:rPr>
      <w:rFonts w:ascii="Arial" w:eastAsia="Arial Unicode MS" w:hAnsi="Arial" w:cs="Arial"/>
      <w:b/>
      <w:color w:val="000000"/>
      <w:lang w:val="en-US" w:eastAsia="en-US"/>
    </w:rPr>
  </w:style>
  <w:style w:type="paragraph" w:customStyle="1" w:styleId="DraftingnoteSection1Para">
    <w:name w:val="Draftingnote Section1 Para"/>
    <w:basedOn w:val="Normal"/>
    <w:rsid w:val="00EC2393"/>
    <w:pPr>
      <w:spacing w:after="120" w:line="300" w:lineRule="atLeast"/>
      <w:jc w:val="both"/>
    </w:pPr>
    <w:rPr>
      <w:rFonts w:eastAsia="Arial Unicode MS"/>
      <w:color w:val="000000"/>
    </w:rPr>
  </w:style>
  <w:style w:type="paragraph" w:customStyle="1" w:styleId="DraftingnoteSection1Title">
    <w:name w:val="Draftingnote Section1 Title"/>
    <w:basedOn w:val="Normal"/>
    <w:rsid w:val="00EC2393"/>
    <w:pPr>
      <w:spacing w:after="120" w:line="300" w:lineRule="atLeast"/>
      <w:jc w:val="both"/>
    </w:pPr>
    <w:rPr>
      <w:rFonts w:eastAsia="Arial Unicode MS"/>
      <w:b/>
      <w:color w:val="000000"/>
      <w:sz w:val="36"/>
    </w:rPr>
  </w:style>
  <w:style w:type="paragraph" w:customStyle="1" w:styleId="DraftingnoteSection2Para">
    <w:name w:val="Draftingnote Section2 Para"/>
    <w:basedOn w:val="Normal"/>
    <w:rsid w:val="00EC2393"/>
    <w:pPr>
      <w:spacing w:after="120" w:line="300" w:lineRule="atLeast"/>
      <w:jc w:val="both"/>
    </w:pPr>
    <w:rPr>
      <w:rFonts w:eastAsia="Arial Unicode MS"/>
      <w:color w:val="000000"/>
    </w:rPr>
  </w:style>
  <w:style w:type="paragraph" w:customStyle="1" w:styleId="DraftingnoteSection2Title">
    <w:name w:val="Draftingnote Section2 Title"/>
    <w:basedOn w:val="Normal"/>
    <w:rsid w:val="00EC2393"/>
    <w:pPr>
      <w:spacing w:after="120" w:line="300" w:lineRule="atLeast"/>
      <w:jc w:val="both"/>
    </w:pPr>
    <w:rPr>
      <w:rFonts w:eastAsia="Arial Unicode MS"/>
      <w:b/>
      <w:color w:val="000000"/>
      <w:sz w:val="28"/>
    </w:rPr>
  </w:style>
  <w:style w:type="paragraph" w:customStyle="1" w:styleId="DraftingnoteSection3Para">
    <w:name w:val="Draftingnote Section3 Para"/>
    <w:basedOn w:val="Normal"/>
    <w:rsid w:val="00EC2393"/>
    <w:pPr>
      <w:spacing w:after="120" w:line="300" w:lineRule="atLeast"/>
      <w:jc w:val="both"/>
    </w:pPr>
    <w:rPr>
      <w:rFonts w:eastAsia="Arial Unicode MS"/>
      <w:color w:val="000000"/>
    </w:rPr>
  </w:style>
  <w:style w:type="paragraph" w:customStyle="1" w:styleId="DraftingnoteSection3Title">
    <w:name w:val="Draftingnote Section3 Title"/>
    <w:basedOn w:val="Normal"/>
    <w:rsid w:val="00EC2393"/>
    <w:pPr>
      <w:spacing w:after="120" w:line="300" w:lineRule="atLeast"/>
      <w:jc w:val="both"/>
    </w:pPr>
    <w:rPr>
      <w:rFonts w:eastAsia="Arial Unicode MS"/>
      <w:b/>
      <w:i/>
      <w:color w:val="000000"/>
      <w:sz w:val="28"/>
    </w:rPr>
  </w:style>
  <w:style w:type="paragraph" w:customStyle="1" w:styleId="DraftingnoteSection4Para">
    <w:name w:val="Draftingnote Section4 Para"/>
    <w:basedOn w:val="Normal"/>
    <w:rsid w:val="00EC2393"/>
    <w:pPr>
      <w:spacing w:after="120" w:line="300" w:lineRule="atLeast"/>
      <w:jc w:val="both"/>
    </w:pPr>
    <w:rPr>
      <w:rFonts w:eastAsia="Arial Unicode MS"/>
      <w:color w:val="000000"/>
    </w:rPr>
  </w:style>
  <w:style w:type="paragraph" w:customStyle="1" w:styleId="DraftingnoteSection4Title">
    <w:name w:val="Draftingnote Section4 Title"/>
    <w:basedOn w:val="Normal"/>
    <w:rsid w:val="00EC2393"/>
    <w:pPr>
      <w:spacing w:after="120" w:line="300" w:lineRule="atLeast"/>
      <w:jc w:val="both"/>
    </w:pPr>
    <w:rPr>
      <w:rFonts w:eastAsia="Arial Unicode MS"/>
      <w:b/>
      <w:i/>
      <w:color w:val="000000"/>
      <w:sz w:val="28"/>
    </w:rPr>
  </w:style>
  <w:style w:type="paragraph" w:customStyle="1" w:styleId="DraftingnoteTitle">
    <w:name w:val="Draftingnote Title"/>
    <w:basedOn w:val="Normal"/>
    <w:rsid w:val="00EC2393"/>
    <w:pPr>
      <w:spacing w:after="120" w:line="300" w:lineRule="atLeast"/>
      <w:jc w:val="both"/>
    </w:pPr>
    <w:rPr>
      <w:rFonts w:eastAsia="Arial Unicode MS"/>
      <w:b/>
      <w:color w:val="000000"/>
      <w:sz w:val="28"/>
    </w:rPr>
  </w:style>
  <w:style w:type="paragraph" w:customStyle="1" w:styleId="FulltextBridgehead">
    <w:name w:val="Fulltext Bridgehead"/>
    <w:basedOn w:val="Normal"/>
    <w:rsid w:val="00EC2393"/>
    <w:pPr>
      <w:spacing w:after="120" w:line="300" w:lineRule="atLeast"/>
      <w:jc w:val="both"/>
    </w:pPr>
    <w:rPr>
      <w:rFonts w:eastAsia="Arial Unicode MS"/>
      <w:b/>
      <w:color w:val="000000"/>
      <w:sz w:val="48"/>
    </w:rPr>
  </w:style>
  <w:style w:type="paragraph" w:customStyle="1" w:styleId="FulltextSection1Para">
    <w:name w:val="Fulltext Section1 Para"/>
    <w:basedOn w:val="Normal"/>
    <w:rsid w:val="00EC2393"/>
    <w:pPr>
      <w:spacing w:after="120" w:line="300" w:lineRule="atLeast"/>
      <w:jc w:val="both"/>
    </w:pPr>
    <w:rPr>
      <w:rFonts w:eastAsia="Arial Unicode MS"/>
      <w:color w:val="000000"/>
    </w:rPr>
  </w:style>
  <w:style w:type="paragraph" w:customStyle="1" w:styleId="FulltextSection1Title">
    <w:name w:val="Fulltext Section1 Title"/>
    <w:basedOn w:val="Normal"/>
    <w:rsid w:val="00EC2393"/>
    <w:pPr>
      <w:spacing w:after="120" w:line="300" w:lineRule="atLeast"/>
      <w:jc w:val="both"/>
    </w:pPr>
    <w:rPr>
      <w:rFonts w:eastAsia="Arial Unicode MS"/>
      <w:b/>
      <w:color w:val="000000"/>
      <w:sz w:val="36"/>
    </w:rPr>
  </w:style>
  <w:style w:type="paragraph" w:customStyle="1" w:styleId="FulltextSection2Para">
    <w:name w:val="Fulltext Section2 Para"/>
    <w:basedOn w:val="Normal"/>
    <w:rsid w:val="00EC2393"/>
    <w:pPr>
      <w:spacing w:after="120" w:line="300" w:lineRule="atLeast"/>
      <w:jc w:val="both"/>
    </w:pPr>
    <w:rPr>
      <w:rFonts w:eastAsia="Arial Unicode MS"/>
      <w:color w:val="000000"/>
    </w:rPr>
  </w:style>
  <w:style w:type="paragraph" w:customStyle="1" w:styleId="FulltextSection2Title">
    <w:name w:val="Fulltext Section2 Title"/>
    <w:basedOn w:val="Normal"/>
    <w:rsid w:val="00EC2393"/>
    <w:pPr>
      <w:spacing w:after="120" w:line="300" w:lineRule="atLeast"/>
      <w:jc w:val="both"/>
    </w:pPr>
    <w:rPr>
      <w:rFonts w:eastAsia="Arial Unicode MS"/>
      <w:b/>
      <w:color w:val="000000"/>
      <w:sz w:val="28"/>
    </w:rPr>
  </w:style>
  <w:style w:type="paragraph" w:customStyle="1" w:styleId="FulltextSection3Para">
    <w:name w:val="Fulltext Section3 Para"/>
    <w:basedOn w:val="Normal"/>
    <w:rsid w:val="00EC2393"/>
    <w:pPr>
      <w:spacing w:after="120" w:line="300" w:lineRule="atLeast"/>
      <w:jc w:val="both"/>
    </w:pPr>
    <w:rPr>
      <w:rFonts w:eastAsia="Arial Unicode MS"/>
      <w:color w:val="000000"/>
    </w:rPr>
  </w:style>
  <w:style w:type="paragraph" w:customStyle="1" w:styleId="FulltextSection3Title">
    <w:name w:val="Fulltext Section3 Title"/>
    <w:basedOn w:val="Normal"/>
    <w:rsid w:val="00EC2393"/>
    <w:pPr>
      <w:spacing w:after="120" w:line="300" w:lineRule="atLeast"/>
      <w:jc w:val="both"/>
    </w:pPr>
    <w:rPr>
      <w:rFonts w:eastAsia="Arial Unicode MS"/>
      <w:b/>
      <w:i/>
      <w:color w:val="000000"/>
      <w:sz w:val="28"/>
    </w:rPr>
  </w:style>
  <w:style w:type="paragraph" w:customStyle="1" w:styleId="FulltextSection4Para">
    <w:name w:val="Fulltext Section4 Para"/>
    <w:basedOn w:val="Normal"/>
    <w:rsid w:val="00EC2393"/>
    <w:pPr>
      <w:spacing w:after="120" w:line="300" w:lineRule="atLeast"/>
      <w:jc w:val="both"/>
    </w:pPr>
    <w:rPr>
      <w:rFonts w:eastAsia="Arial Unicode MS"/>
      <w:color w:val="000000"/>
    </w:rPr>
  </w:style>
  <w:style w:type="paragraph" w:customStyle="1" w:styleId="FulltextSection4Title">
    <w:name w:val="Fulltext Section4 Title"/>
    <w:basedOn w:val="Normal"/>
    <w:rsid w:val="00EC2393"/>
    <w:pPr>
      <w:spacing w:after="120" w:line="300" w:lineRule="atLeast"/>
      <w:jc w:val="both"/>
    </w:pPr>
    <w:rPr>
      <w:rFonts w:eastAsia="Arial Unicode MS"/>
      <w:b/>
      <w:i/>
      <w:color w:val="000000"/>
      <w:sz w:val="28"/>
    </w:rPr>
  </w:style>
  <w:style w:type="paragraph" w:customStyle="1" w:styleId="GlossItemGlossdefPara">
    <w:name w:val="GlossItem Glossdef Para"/>
    <w:basedOn w:val="Normal"/>
    <w:rsid w:val="00EC2393"/>
    <w:pPr>
      <w:spacing w:after="120" w:line="300" w:lineRule="atLeast"/>
      <w:jc w:val="both"/>
    </w:pPr>
    <w:rPr>
      <w:rFonts w:eastAsia="Arial Unicode MS"/>
      <w:color w:val="000000"/>
    </w:rPr>
  </w:style>
  <w:style w:type="paragraph" w:customStyle="1" w:styleId="GlossItemGlossterm">
    <w:name w:val="GlossItem Glossterm"/>
    <w:basedOn w:val="Normal"/>
    <w:rsid w:val="00EC2393"/>
    <w:pPr>
      <w:spacing w:after="120" w:line="300" w:lineRule="atLeast"/>
      <w:jc w:val="both"/>
    </w:pPr>
    <w:rPr>
      <w:rFonts w:eastAsia="Arial Unicode MS"/>
      <w:b/>
      <w:color w:val="000000"/>
      <w:sz w:val="48"/>
    </w:rPr>
  </w:style>
  <w:style w:type="paragraph" w:customStyle="1" w:styleId="HeadingAddressLine">
    <w:name w:val="Heading Address Line"/>
    <w:basedOn w:val="Normal"/>
    <w:rsid w:val="00EC2393"/>
    <w:pPr>
      <w:spacing w:after="120" w:line="300" w:lineRule="atLeast"/>
      <w:jc w:val="both"/>
    </w:pPr>
    <w:rPr>
      <w:rFonts w:eastAsia="Arial Unicode MS"/>
      <w:color w:val="000000"/>
    </w:rPr>
  </w:style>
  <w:style w:type="paragraph" w:customStyle="1" w:styleId="HeadingDate">
    <w:name w:val="Heading Date"/>
    <w:basedOn w:val="Normal"/>
    <w:rsid w:val="00EC2393"/>
    <w:pPr>
      <w:spacing w:after="120" w:line="300" w:lineRule="atLeast"/>
      <w:jc w:val="both"/>
    </w:pPr>
    <w:rPr>
      <w:rFonts w:eastAsia="Arial Unicode MS"/>
      <w:color w:val="000000"/>
    </w:rPr>
  </w:style>
  <w:style w:type="paragraph" w:customStyle="1" w:styleId="HeadingLetterheadBasedOnAttribute">
    <w:name w:val="Heading Letterhead Based On Attribute"/>
    <w:basedOn w:val="Normal"/>
    <w:rsid w:val="00EC2393"/>
    <w:pPr>
      <w:spacing w:after="120" w:line="300" w:lineRule="atLeast"/>
      <w:jc w:val="both"/>
    </w:pPr>
    <w:rPr>
      <w:rFonts w:eastAsia="Arial Unicode MS"/>
      <w:color w:val="000000"/>
    </w:rPr>
  </w:style>
  <w:style w:type="paragraph" w:customStyle="1" w:styleId="HeadingSalutation">
    <w:name w:val="Heading Salutation"/>
    <w:basedOn w:val="Normal"/>
    <w:rsid w:val="00EC2393"/>
    <w:pPr>
      <w:spacing w:after="120" w:line="300" w:lineRule="atLeast"/>
      <w:jc w:val="both"/>
    </w:pPr>
    <w:rPr>
      <w:rFonts w:eastAsia="Arial Unicode MS"/>
      <w:color w:val="000000"/>
    </w:rPr>
  </w:style>
  <w:style w:type="paragraph" w:customStyle="1" w:styleId="IgnoredSpacing">
    <w:name w:val="Ignored Spacing"/>
    <w:link w:val="IgnoredSpacingChar"/>
    <w:rsid w:val="00EC2393"/>
    <w:pPr>
      <w:spacing w:after="120" w:line="240" w:lineRule="auto"/>
    </w:pPr>
    <w:rPr>
      <w:rFonts w:ascii="Arial" w:eastAsia="Arial Unicode MS" w:hAnsi="Arial" w:cs="Arial"/>
      <w:color w:val="000000"/>
      <w:sz w:val="24"/>
      <w:szCs w:val="24"/>
      <w:lang w:val="en-US" w:eastAsia="en-US"/>
    </w:rPr>
  </w:style>
  <w:style w:type="character" w:customStyle="1" w:styleId="IgnoredSpacingChar">
    <w:name w:val="Ignored Spacing Char"/>
    <w:link w:val="IgnoredSpacing"/>
    <w:rsid w:val="00EC2393"/>
    <w:rPr>
      <w:rFonts w:ascii="Arial" w:eastAsia="Arial Unicode MS" w:hAnsi="Arial" w:cs="Arial"/>
      <w:color w:val="000000"/>
      <w:sz w:val="24"/>
      <w:szCs w:val="24"/>
      <w:lang w:val="en-US" w:eastAsia="en-US"/>
    </w:rPr>
  </w:style>
  <w:style w:type="paragraph" w:customStyle="1" w:styleId="InternalAuthor">
    <w:name w:val="Internal Author"/>
    <w:link w:val="InternalAuthorChar"/>
    <w:rsid w:val="00EC2393"/>
    <w:pPr>
      <w:spacing w:after="120" w:line="240" w:lineRule="auto"/>
    </w:pPr>
    <w:rPr>
      <w:rFonts w:ascii="Arial" w:eastAsia="Arial Unicode MS" w:hAnsi="Arial" w:cs="Arial"/>
      <w:color w:val="000000"/>
      <w:sz w:val="24"/>
      <w:lang w:val="en-US" w:eastAsia="en-US"/>
    </w:rPr>
  </w:style>
  <w:style w:type="character" w:customStyle="1" w:styleId="InternalAuthorChar">
    <w:name w:val="Internal Author Char"/>
    <w:link w:val="InternalAuthor"/>
    <w:rsid w:val="00EC2393"/>
    <w:rPr>
      <w:rFonts w:ascii="Arial" w:eastAsia="Arial Unicode MS" w:hAnsi="Arial" w:cs="Arial"/>
      <w:color w:val="000000"/>
      <w:sz w:val="24"/>
      <w:lang w:val="en-US" w:eastAsia="en-US"/>
    </w:rPr>
  </w:style>
  <w:style w:type="paragraph" w:customStyle="1" w:styleId="MaintenanceEditor">
    <w:name w:val="Maintenance Editor"/>
    <w:link w:val="MaintenanceEditorChar"/>
    <w:rsid w:val="00EC2393"/>
    <w:pPr>
      <w:spacing w:after="120" w:line="240" w:lineRule="auto"/>
    </w:pPr>
    <w:rPr>
      <w:rFonts w:ascii="Arial" w:eastAsia="Arial Unicode MS" w:hAnsi="Arial" w:cs="Arial"/>
      <w:color w:val="000000"/>
      <w:sz w:val="24"/>
      <w:lang w:val="en-US" w:eastAsia="en-US"/>
    </w:rPr>
  </w:style>
  <w:style w:type="character" w:customStyle="1" w:styleId="MaintenanceEditorChar">
    <w:name w:val="Maintenance Editor Char"/>
    <w:link w:val="MaintenanceEditor"/>
    <w:rsid w:val="00EC2393"/>
    <w:rPr>
      <w:rFonts w:ascii="Arial" w:eastAsia="Arial Unicode MS" w:hAnsi="Arial" w:cs="Arial"/>
      <w:color w:val="000000"/>
      <w:sz w:val="24"/>
      <w:lang w:val="en-US" w:eastAsia="en-US"/>
    </w:rPr>
  </w:style>
  <w:style w:type="paragraph" w:customStyle="1" w:styleId="ParaClause">
    <w:name w:val="Para Clause"/>
    <w:basedOn w:val="Normal"/>
    <w:rsid w:val="00EC2393"/>
    <w:pPr>
      <w:spacing w:before="120" w:after="120" w:line="300" w:lineRule="atLeast"/>
      <w:ind w:left="720"/>
      <w:jc w:val="both"/>
    </w:pPr>
    <w:rPr>
      <w:rFonts w:eastAsia="Arial Unicode MS"/>
      <w:color w:val="000000"/>
    </w:rPr>
  </w:style>
  <w:style w:type="paragraph" w:customStyle="1" w:styleId="Parasubclause1">
    <w:name w:val="Para subclause 1"/>
    <w:aliases w:val="BIWS Heading 2"/>
    <w:basedOn w:val="Normal"/>
    <w:rsid w:val="00EC2393"/>
    <w:pPr>
      <w:spacing w:before="240" w:after="120" w:line="300" w:lineRule="atLeast"/>
      <w:ind w:left="720"/>
      <w:jc w:val="both"/>
    </w:pPr>
    <w:rPr>
      <w:rFonts w:eastAsia="Arial Unicode MS"/>
      <w:color w:val="000000"/>
    </w:rPr>
  </w:style>
  <w:style w:type="paragraph" w:customStyle="1" w:styleId="Untitledsubclause1">
    <w:name w:val="Untitled subclause 1"/>
    <w:basedOn w:val="Normal"/>
    <w:rsid w:val="00EC2393"/>
    <w:pPr>
      <w:numPr>
        <w:ilvl w:val="1"/>
        <w:numId w:val="16"/>
      </w:numPr>
      <w:spacing w:before="280" w:after="120" w:line="300" w:lineRule="atLeast"/>
      <w:jc w:val="both"/>
      <w:outlineLvl w:val="1"/>
    </w:pPr>
    <w:rPr>
      <w:rFonts w:eastAsia="Arial Unicode MS"/>
      <w:color w:val="000000"/>
    </w:rPr>
  </w:style>
  <w:style w:type="paragraph" w:customStyle="1" w:styleId="Parasubclause2">
    <w:name w:val="Para subclause 2"/>
    <w:aliases w:val="BIWS Heading 3"/>
    <w:basedOn w:val="Normal"/>
    <w:rsid w:val="00EC2393"/>
    <w:pPr>
      <w:spacing w:after="240" w:line="300" w:lineRule="atLeast"/>
      <w:ind w:left="1559"/>
      <w:jc w:val="both"/>
    </w:pPr>
    <w:rPr>
      <w:rFonts w:eastAsia="Arial Unicode MS"/>
      <w:color w:val="000000"/>
    </w:rPr>
  </w:style>
  <w:style w:type="paragraph" w:customStyle="1" w:styleId="Untitledsubclause2">
    <w:name w:val="Untitled subclause 2"/>
    <w:basedOn w:val="Normal"/>
    <w:rsid w:val="00EC2393"/>
    <w:pPr>
      <w:numPr>
        <w:ilvl w:val="2"/>
        <w:numId w:val="16"/>
      </w:numPr>
      <w:spacing w:after="120" w:line="300" w:lineRule="atLeast"/>
      <w:jc w:val="both"/>
      <w:outlineLvl w:val="2"/>
    </w:pPr>
    <w:rPr>
      <w:rFonts w:eastAsia="Arial Unicode MS"/>
      <w:color w:val="000000"/>
    </w:rPr>
  </w:style>
  <w:style w:type="paragraph" w:customStyle="1" w:styleId="Parasubclause3">
    <w:name w:val="Para subclause 3"/>
    <w:aliases w:val="BIWS Heading 4"/>
    <w:basedOn w:val="Normal"/>
    <w:next w:val="Untitledsubclause2"/>
    <w:rsid w:val="00EC2393"/>
    <w:pPr>
      <w:spacing w:after="120" w:line="300" w:lineRule="atLeast"/>
      <w:ind w:left="2268"/>
      <w:jc w:val="both"/>
    </w:pPr>
    <w:rPr>
      <w:rFonts w:eastAsia="Arial Unicode MS"/>
      <w:color w:val="000000"/>
    </w:rPr>
  </w:style>
  <w:style w:type="paragraph" w:customStyle="1" w:styleId="Untitledsubclause3">
    <w:name w:val="Untitled subclause 3"/>
    <w:basedOn w:val="Normal"/>
    <w:rsid w:val="00EC2393"/>
    <w:pPr>
      <w:numPr>
        <w:ilvl w:val="3"/>
        <w:numId w:val="16"/>
      </w:numPr>
      <w:tabs>
        <w:tab w:val="left" w:pos="2261"/>
      </w:tabs>
      <w:spacing w:after="120" w:line="300" w:lineRule="atLeast"/>
      <w:jc w:val="both"/>
      <w:outlineLvl w:val="3"/>
    </w:pPr>
    <w:rPr>
      <w:rFonts w:eastAsia="Arial Unicode MS"/>
      <w:color w:val="000000"/>
    </w:rPr>
  </w:style>
  <w:style w:type="paragraph" w:customStyle="1" w:styleId="Parasubclause4">
    <w:name w:val="Para subclause 4"/>
    <w:aliases w:val="BIWS Heading 5"/>
    <w:basedOn w:val="Parasubclause3"/>
    <w:rsid w:val="00EC2393"/>
    <w:pPr>
      <w:spacing w:after="240"/>
      <w:ind w:left="3028"/>
    </w:pPr>
  </w:style>
  <w:style w:type="paragraph" w:customStyle="1" w:styleId="Untitledsubclause4">
    <w:name w:val="Untitled subclause 4"/>
    <w:basedOn w:val="Normal"/>
    <w:rsid w:val="00EC2393"/>
    <w:pPr>
      <w:numPr>
        <w:ilvl w:val="4"/>
        <w:numId w:val="16"/>
      </w:numPr>
      <w:spacing w:after="120" w:line="300" w:lineRule="atLeast"/>
      <w:jc w:val="both"/>
      <w:outlineLvl w:val="4"/>
    </w:pPr>
    <w:rPr>
      <w:rFonts w:eastAsia="Arial Unicode MS"/>
      <w:color w:val="000000"/>
    </w:rPr>
  </w:style>
  <w:style w:type="paragraph" w:customStyle="1" w:styleId="Para">
    <w:name w:val="Para"/>
    <w:aliases w:val="PLC Style - Normal"/>
    <w:basedOn w:val="Normal"/>
    <w:rsid w:val="00EC2393"/>
    <w:pPr>
      <w:spacing w:after="120" w:line="300" w:lineRule="atLeast"/>
      <w:jc w:val="both"/>
    </w:pPr>
    <w:rPr>
      <w:rFonts w:eastAsia="Arial Unicode MS"/>
      <w:color w:val="000000"/>
    </w:rPr>
  </w:style>
  <w:style w:type="paragraph" w:customStyle="1" w:styleId="Parties">
    <w:name w:val="Parties"/>
    <w:aliases w:val="(1) Parties"/>
    <w:uiPriority w:val="1"/>
    <w:rsid w:val="00B15D0C"/>
    <w:pPr>
      <w:numPr>
        <w:numId w:val="23"/>
      </w:numPr>
      <w:spacing w:after="240" w:line="240" w:lineRule="auto"/>
      <w:jc w:val="both"/>
    </w:pPr>
    <w:rPr>
      <w:rFonts w:ascii="Arial" w:eastAsia="Times New Roman" w:hAnsi="Arial" w:cs="Times New Roman"/>
      <w:color w:val="000000" w:themeColor="text1"/>
      <w:sz w:val="20"/>
      <w:szCs w:val="20"/>
    </w:rPr>
  </w:style>
  <w:style w:type="paragraph" w:customStyle="1" w:styleId="ResourceHistoryAuthor">
    <w:name w:val="Resource History Author"/>
    <w:link w:val="ResourceHistoryAuthorChar"/>
    <w:rsid w:val="00EC2393"/>
    <w:pPr>
      <w:spacing w:after="120" w:line="240" w:lineRule="auto"/>
    </w:pPr>
    <w:rPr>
      <w:rFonts w:ascii="Arial" w:eastAsia="Arial Unicode MS" w:hAnsi="Arial" w:cs="Arial"/>
      <w:color w:val="000000"/>
      <w:sz w:val="24"/>
      <w:szCs w:val="24"/>
      <w:lang w:val="en-US" w:eastAsia="en-US"/>
    </w:rPr>
  </w:style>
  <w:style w:type="character" w:customStyle="1" w:styleId="ResourceHistoryAuthorChar">
    <w:name w:val="Resource History Author Char"/>
    <w:link w:val="ResourceHistoryAuthor"/>
    <w:rsid w:val="00EC2393"/>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EC2393"/>
    <w:pPr>
      <w:spacing w:after="120" w:line="240" w:lineRule="auto"/>
    </w:pPr>
    <w:rPr>
      <w:rFonts w:ascii="Arial" w:eastAsia="Arial Unicode MS" w:hAnsi="Arial" w:cs="Arial"/>
      <w:color w:val="000000"/>
      <w:sz w:val="24"/>
      <w:szCs w:val="24"/>
      <w:lang w:val="en-US" w:eastAsia="en-US"/>
    </w:rPr>
  </w:style>
  <w:style w:type="character" w:customStyle="1" w:styleId="ResourceHistoryDateChar">
    <w:name w:val="Resource History Date Char"/>
    <w:link w:val="ResourceHistoryDate"/>
    <w:rsid w:val="00EC2393"/>
    <w:rPr>
      <w:rFonts w:ascii="Arial" w:eastAsia="Arial Unicode MS" w:hAnsi="Arial" w:cs="Arial"/>
      <w:color w:val="000000"/>
      <w:sz w:val="24"/>
      <w:szCs w:val="24"/>
      <w:lang w:val="en-US" w:eastAsia="en-US"/>
    </w:rPr>
  </w:style>
  <w:style w:type="paragraph" w:customStyle="1" w:styleId="ResourceHistoryDesc">
    <w:name w:val="Resource History Desc"/>
    <w:link w:val="ResourceHistoryDescChar"/>
    <w:rsid w:val="00EC2393"/>
    <w:pPr>
      <w:spacing w:after="120" w:line="240" w:lineRule="auto"/>
    </w:pPr>
    <w:rPr>
      <w:rFonts w:ascii="Verdana" w:eastAsia="Times New Roman" w:hAnsi="Verdana" w:cs="Verdana"/>
      <w:color w:val="000000"/>
      <w:sz w:val="18"/>
      <w:szCs w:val="24"/>
      <w:lang w:val="en-US" w:eastAsia="en-US"/>
    </w:rPr>
  </w:style>
  <w:style w:type="character" w:customStyle="1" w:styleId="ResourceHistoryDescChar">
    <w:name w:val="Resource History Desc Char"/>
    <w:link w:val="ResourceHistoryDesc"/>
    <w:rsid w:val="00EC2393"/>
    <w:rPr>
      <w:rFonts w:ascii="Verdana" w:eastAsia="Times New Roman" w:hAnsi="Verdana" w:cs="Verdana"/>
      <w:color w:val="000000"/>
      <w:sz w:val="18"/>
      <w:szCs w:val="24"/>
      <w:lang w:val="en-US" w:eastAsia="en-US"/>
    </w:rPr>
  </w:style>
  <w:style w:type="paragraph" w:customStyle="1" w:styleId="ResourceHistoryTitle">
    <w:name w:val="Resource History Title"/>
    <w:link w:val="ResourceHistoryTitleChar"/>
    <w:rsid w:val="00EC2393"/>
    <w:pPr>
      <w:spacing w:after="120" w:line="240" w:lineRule="auto"/>
    </w:pPr>
    <w:rPr>
      <w:rFonts w:ascii="Arial" w:eastAsia="Arial Unicode MS" w:hAnsi="Arial" w:cs="Arial"/>
      <w:b/>
      <w:bCs/>
      <w:color w:val="000000"/>
      <w:sz w:val="24"/>
      <w:lang w:val="en-US" w:eastAsia="en-US"/>
    </w:rPr>
  </w:style>
  <w:style w:type="character" w:customStyle="1" w:styleId="ResourceHistoryTitleChar">
    <w:name w:val="Resource History Title Char"/>
    <w:link w:val="ResourceHistoryTitle"/>
    <w:rsid w:val="00EC2393"/>
    <w:rPr>
      <w:rFonts w:ascii="Arial" w:eastAsia="Arial Unicode MS" w:hAnsi="Arial" w:cs="Arial"/>
      <w:b/>
      <w:bCs/>
      <w:color w:val="000000"/>
      <w:sz w:val="24"/>
      <w:lang w:val="en-US" w:eastAsia="en-US"/>
    </w:rPr>
  </w:style>
  <w:style w:type="paragraph" w:customStyle="1" w:styleId="ResourceType">
    <w:name w:val="Resource Type"/>
    <w:link w:val="ResourceTypeChar"/>
    <w:rsid w:val="00EC2393"/>
    <w:pPr>
      <w:spacing w:after="120" w:line="240" w:lineRule="auto"/>
    </w:pPr>
    <w:rPr>
      <w:rFonts w:ascii="Arial" w:eastAsia="Arial Unicode MS" w:hAnsi="Arial" w:cs="Arial"/>
      <w:color w:val="000000"/>
      <w:sz w:val="24"/>
      <w:szCs w:val="24"/>
      <w:lang w:val="en-US" w:eastAsia="en-US"/>
    </w:rPr>
  </w:style>
  <w:style w:type="character" w:customStyle="1" w:styleId="ResourceTypeChar">
    <w:name w:val="Resource Type Char"/>
    <w:link w:val="ResourceType"/>
    <w:rsid w:val="00EC2393"/>
    <w:rPr>
      <w:rFonts w:ascii="Arial" w:eastAsia="Arial Unicode MS" w:hAnsi="Arial" w:cs="Arial"/>
      <w:color w:val="000000"/>
      <w:sz w:val="24"/>
      <w:szCs w:val="24"/>
      <w:lang w:val="en-US" w:eastAsia="en-US"/>
    </w:rPr>
  </w:style>
  <w:style w:type="paragraph" w:customStyle="1" w:styleId="ScheduleHeading-Single">
    <w:name w:val="Schedule Heading - Single"/>
    <w:aliases w:val="Sch   main head inc single"/>
    <w:basedOn w:val="Normal"/>
    <w:next w:val="Normal"/>
    <w:rsid w:val="00EC2393"/>
    <w:pPr>
      <w:numPr>
        <w:numId w:val="1"/>
      </w:numPr>
      <w:spacing w:before="240" w:after="360" w:line="300" w:lineRule="atLeast"/>
      <w:jc w:val="both"/>
    </w:pPr>
    <w:rPr>
      <w:rFonts w:eastAsia="Arial Unicode MS"/>
      <w:b/>
      <w:color w:val="000000"/>
      <w:kern w:val="28"/>
    </w:rPr>
  </w:style>
  <w:style w:type="paragraph" w:customStyle="1" w:styleId="ScheduleHeading">
    <w:name w:val="Schedule Heading"/>
    <w:aliases w:val="Sch   main head"/>
    <w:next w:val="Body"/>
    <w:uiPriority w:val="1"/>
    <w:rsid w:val="00B15D0C"/>
    <w:pPr>
      <w:keepNext/>
      <w:pageBreakBefore/>
      <w:numPr>
        <w:numId w:val="22"/>
      </w:numPr>
      <w:spacing w:after="240" w:line="240" w:lineRule="auto"/>
      <w:jc w:val="center"/>
      <w:outlineLvl w:val="0"/>
    </w:pPr>
    <w:rPr>
      <w:rFonts w:ascii="Arial" w:eastAsia="Times New Roman" w:hAnsi="Arial" w:cs="Times New Roman"/>
      <w:b/>
      <w:color w:val="000000" w:themeColor="text1"/>
      <w:sz w:val="20"/>
      <w:szCs w:val="20"/>
    </w:rPr>
  </w:style>
  <w:style w:type="paragraph" w:customStyle="1" w:styleId="SectionHeading">
    <w:name w:val="Section Heading"/>
    <w:aliases w:val="1stIntroHeadings"/>
    <w:basedOn w:val="Normal"/>
    <w:next w:val="Normal"/>
    <w:rsid w:val="00EC2393"/>
    <w:pPr>
      <w:tabs>
        <w:tab w:val="left" w:pos="709"/>
      </w:tabs>
      <w:spacing w:before="120" w:after="120" w:line="300" w:lineRule="atLeast"/>
      <w:jc w:val="both"/>
    </w:pPr>
    <w:rPr>
      <w:rFonts w:eastAsia="Arial Unicode MS"/>
      <w:b/>
      <w:smallCaps/>
      <w:color w:val="000000"/>
      <w:sz w:val="24"/>
    </w:rPr>
  </w:style>
  <w:style w:type="paragraph" w:customStyle="1" w:styleId="Shortquestion">
    <w:name w:val="Shortquestion"/>
    <w:basedOn w:val="Normal"/>
    <w:rsid w:val="00EC2393"/>
    <w:pPr>
      <w:spacing w:after="120" w:line="300" w:lineRule="atLeast"/>
      <w:jc w:val="both"/>
    </w:pPr>
    <w:rPr>
      <w:rFonts w:eastAsia="Arial Unicode MS"/>
      <w:color w:val="000000"/>
    </w:rPr>
  </w:style>
  <w:style w:type="paragraph" w:customStyle="1" w:styleId="SpeedreadPara">
    <w:name w:val="Speedread Para"/>
    <w:basedOn w:val="Normal"/>
    <w:rsid w:val="00EC2393"/>
    <w:pPr>
      <w:spacing w:after="120" w:line="300" w:lineRule="atLeast"/>
      <w:jc w:val="both"/>
    </w:pPr>
    <w:rPr>
      <w:rFonts w:eastAsia="Arial Unicode MS"/>
      <w:color w:val="000000"/>
    </w:rPr>
  </w:style>
  <w:style w:type="paragraph" w:customStyle="1" w:styleId="SpeedreadSection1Para">
    <w:name w:val="Speedread Section1 Para"/>
    <w:basedOn w:val="Normal"/>
    <w:rsid w:val="00EC2393"/>
    <w:pPr>
      <w:spacing w:after="120" w:line="300" w:lineRule="atLeast"/>
      <w:jc w:val="both"/>
    </w:pPr>
    <w:rPr>
      <w:rFonts w:eastAsia="Arial Unicode MS"/>
      <w:color w:val="000000"/>
    </w:rPr>
  </w:style>
  <w:style w:type="paragraph" w:customStyle="1" w:styleId="SpeedreadSection1Text">
    <w:name w:val="Speedread Section1 Text"/>
    <w:basedOn w:val="Normal"/>
    <w:rsid w:val="00EC2393"/>
    <w:pPr>
      <w:spacing w:after="120" w:line="300" w:lineRule="atLeast"/>
      <w:jc w:val="both"/>
    </w:pPr>
    <w:rPr>
      <w:rFonts w:eastAsia="Arial Unicode MS"/>
      <w:color w:val="000000"/>
    </w:rPr>
  </w:style>
  <w:style w:type="paragraph" w:customStyle="1" w:styleId="SpeedreadText">
    <w:name w:val="Speedread Text"/>
    <w:basedOn w:val="Normal"/>
    <w:rsid w:val="00EC2393"/>
    <w:pPr>
      <w:spacing w:after="120" w:line="300" w:lineRule="atLeast"/>
      <w:jc w:val="both"/>
    </w:pPr>
    <w:rPr>
      <w:rFonts w:eastAsia="Arial Unicode MS"/>
      <w:color w:val="000000"/>
    </w:rPr>
  </w:style>
  <w:style w:type="paragraph" w:customStyle="1" w:styleId="SpeedreadTitle">
    <w:name w:val="Speedread Title"/>
    <w:basedOn w:val="Normal"/>
    <w:rsid w:val="00EC2393"/>
    <w:pPr>
      <w:spacing w:after="120" w:line="300" w:lineRule="atLeast"/>
      <w:jc w:val="both"/>
    </w:pPr>
    <w:rPr>
      <w:rFonts w:eastAsia="Arial Unicode MS"/>
      <w:b/>
      <w:color w:val="000000"/>
      <w:sz w:val="36"/>
    </w:rPr>
  </w:style>
  <w:style w:type="paragraph" w:customStyle="1" w:styleId="TemplateType">
    <w:name w:val="Template Type"/>
    <w:link w:val="TemplateTypeChar"/>
    <w:rsid w:val="00EC2393"/>
    <w:pPr>
      <w:spacing w:after="120" w:line="240" w:lineRule="auto"/>
    </w:pPr>
    <w:rPr>
      <w:rFonts w:ascii="Arial" w:eastAsia="Arial Unicode MS" w:hAnsi="Arial" w:cs="Arial"/>
      <w:color w:val="000000"/>
      <w:sz w:val="24"/>
      <w:szCs w:val="24"/>
      <w:lang w:val="en-US" w:eastAsia="en-US"/>
    </w:rPr>
  </w:style>
  <w:style w:type="character" w:customStyle="1" w:styleId="TemplateTypeChar">
    <w:name w:val="Template Type Char"/>
    <w:link w:val="TemplateType"/>
    <w:rsid w:val="00EC2393"/>
    <w:rPr>
      <w:rFonts w:ascii="Arial" w:eastAsia="Arial Unicode MS" w:hAnsi="Arial" w:cs="Arial"/>
      <w:color w:val="000000"/>
      <w:sz w:val="24"/>
      <w:szCs w:val="24"/>
      <w:lang w:val="en-US" w:eastAsia="en-US"/>
    </w:rPr>
  </w:style>
  <w:style w:type="paragraph" w:styleId="Title">
    <w:name w:val="Title"/>
    <w:link w:val="TitleChar"/>
    <w:rsid w:val="00EC2393"/>
    <w:pPr>
      <w:spacing w:after="120" w:line="240" w:lineRule="auto"/>
    </w:pPr>
    <w:rPr>
      <w:rFonts w:ascii="Arial" w:eastAsia="Arial Unicode MS" w:hAnsi="Arial" w:cs="Arial"/>
      <w:color w:val="000000"/>
      <w:sz w:val="24"/>
      <w:lang w:val="en-US" w:eastAsia="en-US"/>
    </w:rPr>
  </w:style>
  <w:style w:type="character" w:customStyle="1" w:styleId="TitleChar">
    <w:name w:val="Title Char"/>
    <w:link w:val="Title"/>
    <w:rsid w:val="00EC2393"/>
    <w:rPr>
      <w:rFonts w:ascii="Arial" w:eastAsia="Arial Unicode MS" w:hAnsi="Arial" w:cs="Arial"/>
      <w:color w:val="000000"/>
      <w:sz w:val="24"/>
      <w:lang w:val="en-US" w:eastAsia="en-US"/>
    </w:rPr>
  </w:style>
  <w:style w:type="paragraph" w:styleId="Footer">
    <w:name w:val="footer"/>
    <w:link w:val="FooterChar"/>
    <w:uiPriority w:val="1"/>
    <w:rsid w:val="00B15D0C"/>
    <w:pPr>
      <w:tabs>
        <w:tab w:val="center" w:pos="4678"/>
        <w:tab w:val="right" w:pos="9356"/>
      </w:tabs>
      <w:spacing w:after="0" w:line="240" w:lineRule="auto"/>
    </w:pPr>
    <w:rPr>
      <w:rFonts w:ascii="Arial" w:eastAsia="Times New Roman" w:hAnsi="Arial" w:cs="Times New Roman"/>
      <w:color w:val="000000" w:themeColor="text1"/>
      <w:sz w:val="16"/>
      <w:szCs w:val="20"/>
    </w:rPr>
  </w:style>
  <w:style w:type="character" w:customStyle="1" w:styleId="FooterChar">
    <w:name w:val="Footer Char"/>
    <w:basedOn w:val="DefaultParagraphFont"/>
    <w:link w:val="Footer"/>
    <w:uiPriority w:val="1"/>
    <w:rsid w:val="00B15D0C"/>
    <w:rPr>
      <w:rFonts w:ascii="Arial" w:eastAsia="Times New Roman" w:hAnsi="Arial" w:cs="Times New Roman"/>
      <w:color w:val="000000" w:themeColor="text1"/>
      <w:sz w:val="16"/>
      <w:szCs w:val="20"/>
    </w:rPr>
  </w:style>
  <w:style w:type="character" w:styleId="Hyperlink">
    <w:name w:val="Hyperlink"/>
    <w:basedOn w:val="DefaultParagraphFont"/>
    <w:uiPriority w:val="99"/>
    <w:rsid w:val="00B15D0C"/>
    <w:rPr>
      <w:color w:val="0000FF" w:themeColor="hyperlink"/>
      <w:u w:val="single"/>
    </w:rPr>
  </w:style>
  <w:style w:type="paragraph" w:customStyle="1" w:styleId="Bullet40">
    <w:name w:val="Bullet4"/>
    <w:basedOn w:val="Normal"/>
    <w:rsid w:val="00EC2393"/>
    <w:pPr>
      <w:numPr>
        <w:numId w:val="2"/>
      </w:numPr>
      <w:spacing w:after="240"/>
      <w:jc w:val="both"/>
    </w:pPr>
    <w:rPr>
      <w:rFonts w:ascii="Times New Roman" w:eastAsia="Times New Roman" w:hAnsi="Times New Roman" w:cs="Times New Roman"/>
      <w:color w:val="000000"/>
    </w:rPr>
  </w:style>
  <w:style w:type="paragraph" w:customStyle="1" w:styleId="Paragraph">
    <w:name w:val="Paragraph"/>
    <w:basedOn w:val="Normal"/>
    <w:link w:val="ParagraphChar"/>
    <w:qFormat/>
    <w:rsid w:val="00EC2393"/>
    <w:pPr>
      <w:spacing w:after="120" w:line="300" w:lineRule="atLeast"/>
      <w:jc w:val="both"/>
    </w:pPr>
    <w:rPr>
      <w:rFonts w:eastAsia="Arial Unicode MS"/>
      <w:color w:val="000000"/>
    </w:rPr>
  </w:style>
  <w:style w:type="paragraph" w:customStyle="1" w:styleId="IgnoredTemplateText">
    <w:name w:val="Ignored Template Text"/>
    <w:link w:val="IgnoredTemplateTextChar"/>
    <w:rsid w:val="00EC2393"/>
    <w:pPr>
      <w:pBdr>
        <w:top w:val="single" w:sz="4" w:space="1" w:color="auto"/>
        <w:left w:val="single" w:sz="4" w:space="4" w:color="auto"/>
        <w:bottom w:val="single" w:sz="4" w:space="1" w:color="auto"/>
        <w:right w:val="single" w:sz="4" w:space="4" w:color="auto"/>
      </w:pBdr>
      <w:shd w:val="pct15" w:color="auto" w:fill="FBD4B4" w:themeFill="accent6" w:themeFillTint="66"/>
      <w:spacing w:after="120" w:line="240" w:lineRule="auto"/>
    </w:pPr>
    <w:rPr>
      <w:rFonts w:ascii="Arial" w:eastAsia="Arial Unicode MS" w:hAnsi="Arial" w:cs="Arial"/>
      <w:b/>
      <w:i/>
      <w:color w:val="000000"/>
      <w:szCs w:val="18"/>
      <w:lang w:val="en-US" w:eastAsia="en-US"/>
    </w:rPr>
  </w:style>
  <w:style w:type="character" w:customStyle="1" w:styleId="IgnoredTemplateTextChar">
    <w:name w:val="Ignored Template Text Char"/>
    <w:link w:val="IgnoredTemplateText"/>
    <w:rsid w:val="00EC2393"/>
    <w:rPr>
      <w:rFonts w:ascii="Arial" w:eastAsia="Arial Unicode MS" w:hAnsi="Arial" w:cs="Arial"/>
      <w:b/>
      <w:i/>
      <w:color w:val="000000"/>
      <w:szCs w:val="18"/>
      <w:shd w:val="pct15" w:color="auto" w:fill="FBD4B4" w:themeFill="accent6" w:themeFillTint="66"/>
      <w:lang w:val="en-US" w:eastAsia="en-US"/>
    </w:rPr>
  </w:style>
  <w:style w:type="paragraph" w:customStyle="1" w:styleId="InternalTOC">
    <w:name w:val="Internal TOC"/>
    <w:rsid w:val="00EC2393"/>
    <w:pPr>
      <w:spacing w:after="120" w:line="240" w:lineRule="auto"/>
    </w:pPr>
    <w:rPr>
      <w:rFonts w:ascii="Arial" w:eastAsia="Arial Unicode MS" w:hAnsi="Arial" w:cs="Arial"/>
      <w:color w:val="000000"/>
      <w:lang w:val="en-US" w:eastAsia="en-US"/>
    </w:rPr>
  </w:style>
  <w:style w:type="paragraph" w:customStyle="1" w:styleId="HeadingLevel1">
    <w:name w:val="Heading Level 1"/>
    <w:basedOn w:val="Normal"/>
    <w:next w:val="Paragraph"/>
    <w:rsid w:val="00EC2393"/>
    <w:pPr>
      <w:keepNext/>
      <w:spacing w:after="120" w:line="300" w:lineRule="atLeast"/>
      <w:jc w:val="both"/>
      <w:outlineLvl w:val="1"/>
    </w:pPr>
    <w:rPr>
      <w:rFonts w:eastAsia="Arial Unicode MS"/>
      <w:b/>
      <w:color w:val="000000"/>
      <w:sz w:val="36"/>
    </w:rPr>
  </w:style>
  <w:style w:type="paragraph" w:customStyle="1" w:styleId="HeadingLevel2">
    <w:name w:val="Heading Level 2"/>
    <w:basedOn w:val="Normal"/>
    <w:next w:val="Paragraph"/>
    <w:rsid w:val="00EC2393"/>
    <w:pPr>
      <w:keepNext/>
      <w:spacing w:after="120" w:line="300" w:lineRule="atLeast"/>
      <w:jc w:val="both"/>
      <w:outlineLvl w:val="2"/>
    </w:pPr>
    <w:rPr>
      <w:rFonts w:eastAsia="Arial Unicode MS"/>
      <w:b/>
      <w:color w:val="000000"/>
      <w:sz w:val="28"/>
    </w:rPr>
  </w:style>
  <w:style w:type="paragraph" w:customStyle="1" w:styleId="HeadingLevel3">
    <w:name w:val="Heading Level 3"/>
    <w:basedOn w:val="Normal"/>
    <w:next w:val="Paragraph"/>
    <w:rsid w:val="00EC2393"/>
    <w:pPr>
      <w:keepNext/>
      <w:spacing w:after="120" w:line="300" w:lineRule="atLeast"/>
      <w:jc w:val="both"/>
      <w:outlineLvl w:val="3"/>
    </w:pPr>
    <w:rPr>
      <w:rFonts w:eastAsia="Arial Unicode MS"/>
      <w:b/>
      <w:i/>
      <w:color w:val="000000"/>
      <w:sz w:val="28"/>
    </w:rPr>
  </w:style>
  <w:style w:type="paragraph" w:styleId="Header">
    <w:name w:val="header"/>
    <w:link w:val="HeaderChar"/>
    <w:uiPriority w:val="1"/>
    <w:rsid w:val="00B15D0C"/>
    <w:pPr>
      <w:spacing w:after="0" w:line="240" w:lineRule="auto"/>
    </w:pPr>
    <w:rPr>
      <w:rFonts w:ascii="Arial" w:eastAsia="Times New Roman" w:hAnsi="Arial" w:cs="Times New Roman"/>
      <w:color w:val="000000" w:themeColor="text1"/>
      <w:sz w:val="20"/>
      <w:szCs w:val="20"/>
    </w:rPr>
  </w:style>
  <w:style w:type="character" w:customStyle="1" w:styleId="HeaderChar">
    <w:name w:val="Header Char"/>
    <w:basedOn w:val="DefaultParagraphFont"/>
    <w:link w:val="Header"/>
    <w:uiPriority w:val="1"/>
    <w:rsid w:val="00B15D0C"/>
    <w:rPr>
      <w:rFonts w:ascii="Arial" w:eastAsia="Times New Roman" w:hAnsi="Arial" w:cs="Times New Roman"/>
      <w:color w:val="000000" w:themeColor="text1"/>
      <w:sz w:val="20"/>
      <w:szCs w:val="20"/>
    </w:rPr>
  </w:style>
  <w:style w:type="character" w:styleId="PlaceholderText">
    <w:name w:val="Placeholder Text"/>
    <w:basedOn w:val="DefaultParagraphFont"/>
    <w:uiPriority w:val="99"/>
    <w:rsid w:val="00EC2393"/>
    <w:rPr>
      <w:color w:val="000000"/>
    </w:rPr>
  </w:style>
  <w:style w:type="paragraph" w:styleId="BalloonText">
    <w:name w:val="Balloon Text"/>
    <w:basedOn w:val="Normal"/>
    <w:link w:val="BalloonTextChar"/>
    <w:uiPriority w:val="99"/>
    <w:semiHidden/>
    <w:unhideWhenUsed/>
    <w:rsid w:val="00B15D0C"/>
    <w:pPr>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D0C"/>
    <w:rPr>
      <w:rFonts w:ascii="Tahoma" w:eastAsiaTheme="minorHAnsi" w:hAnsi="Tahoma" w:cs="Tahoma"/>
      <w:sz w:val="16"/>
      <w:szCs w:val="16"/>
      <w:lang w:eastAsia="en-US"/>
    </w:rPr>
  </w:style>
  <w:style w:type="paragraph" w:customStyle="1" w:styleId="PinPointRef">
    <w:name w:val="PinPoint Ref"/>
    <w:link w:val="PinPointRefChar"/>
    <w:qFormat/>
    <w:rsid w:val="00EC2393"/>
    <w:pPr>
      <w:spacing w:after="0" w:line="240" w:lineRule="auto"/>
    </w:pPr>
    <w:rPr>
      <w:rFonts w:ascii="Times New Roman" w:eastAsia="Times New Roman" w:hAnsi="Times New Roman" w:cs="Times New Roman"/>
      <w:b/>
      <w:vanish/>
      <w:color w:val="000000"/>
      <w:sz w:val="18"/>
      <w:szCs w:val="20"/>
      <w:lang w:eastAsia="en-US"/>
    </w:rPr>
  </w:style>
  <w:style w:type="character" w:customStyle="1" w:styleId="PinPointRefChar">
    <w:name w:val="PinPoint Ref Char"/>
    <w:basedOn w:val="DefaultParagraphFont"/>
    <w:link w:val="PinPointRef"/>
    <w:rsid w:val="00EC2393"/>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EC2393"/>
    <w:pPr>
      <w:spacing w:before="120" w:after="0" w:line="240" w:lineRule="auto"/>
      <w:ind w:left="720"/>
    </w:pPr>
    <w:rPr>
      <w:rFonts w:ascii="Arial" w:eastAsia="Arial Unicode MS" w:hAnsi="Arial" w:cs="Arial"/>
      <w:color w:val="000000"/>
      <w:sz w:val="18"/>
      <w:szCs w:val="20"/>
      <w:lang w:eastAsia="en-US"/>
    </w:rPr>
  </w:style>
  <w:style w:type="character" w:customStyle="1" w:styleId="BlockQuoteChar">
    <w:name w:val="Block Quote Char"/>
    <w:basedOn w:val="DefaultParagraphFont"/>
    <w:link w:val="BlockQuote"/>
    <w:rsid w:val="00EC2393"/>
    <w:rPr>
      <w:rFonts w:ascii="Arial" w:eastAsia="Arial Unicode MS" w:hAnsi="Arial" w:cs="Arial"/>
      <w:color w:val="000000"/>
      <w:sz w:val="18"/>
      <w:szCs w:val="20"/>
      <w:lang w:eastAsia="en-US"/>
    </w:rPr>
  </w:style>
  <w:style w:type="paragraph" w:customStyle="1" w:styleId="ListParagraphLevel1">
    <w:name w:val="List Paragraph Level 1"/>
    <w:link w:val="ListParagraphLevel1Char"/>
    <w:rsid w:val="00EC2393"/>
    <w:pPr>
      <w:spacing w:after="120" w:line="240" w:lineRule="auto"/>
      <w:ind w:left="357"/>
      <w:jc w:val="both"/>
    </w:pPr>
    <w:rPr>
      <w:rFonts w:ascii="Arial" w:eastAsia="Arial Unicode MS" w:hAnsi="Arial" w:cs="Arial"/>
      <w:color w:val="000000"/>
      <w:szCs w:val="24"/>
      <w:lang w:val="en-US" w:eastAsia="en-US"/>
    </w:rPr>
  </w:style>
  <w:style w:type="paragraph" w:customStyle="1" w:styleId="ListParagraphLevel2">
    <w:name w:val="List Paragraph Level 2"/>
    <w:link w:val="ListParagraphLevel2Char"/>
    <w:qFormat/>
    <w:rsid w:val="00EC2393"/>
    <w:pPr>
      <w:spacing w:after="120" w:line="240" w:lineRule="auto"/>
      <w:ind w:left="1077"/>
      <w:jc w:val="both"/>
    </w:pPr>
    <w:rPr>
      <w:rFonts w:ascii="Arial" w:eastAsia="Arial Unicode MS" w:hAnsi="Arial" w:cs="Arial"/>
      <w:color w:val="000000"/>
      <w:szCs w:val="24"/>
      <w:lang w:val="en-US" w:eastAsia="en-US"/>
    </w:rPr>
  </w:style>
  <w:style w:type="character" w:customStyle="1" w:styleId="ListParagraphLevel1Char">
    <w:name w:val="List Paragraph Level 1 Char"/>
    <w:basedOn w:val="DefaultParagraphFont"/>
    <w:link w:val="ListParagraphLevel1"/>
    <w:rsid w:val="00EC2393"/>
    <w:rPr>
      <w:rFonts w:ascii="Arial" w:eastAsia="Arial Unicode MS" w:hAnsi="Arial" w:cs="Arial"/>
      <w:color w:val="000000"/>
      <w:szCs w:val="24"/>
      <w:lang w:val="en-US" w:eastAsia="en-US"/>
    </w:rPr>
  </w:style>
  <w:style w:type="character" w:customStyle="1" w:styleId="ListParagraphLevel2Char">
    <w:name w:val="List Paragraph Level 2 Char"/>
    <w:basedOn w:val="DefaultParagraphFont"/>
    <w:link w:val="ListParagraphLevel2"/>
    <w:rsid w:val="00EC2393"/>
    <w:rPr>
      <w:rFonts w:ascii="Arial" w:eastAsia="Arial Unicode MS" w:hAnsi="Arial" w:cs="Arial"/>
      <w:color w:val="000000"/>
      <w:szCs w:val="24"/>
      <w:lang w:val="en-US" w:eastAsia="en-US"/>
    </w:rPr>
  </w:style>
  <w:style w:type="paragraph" w:customStyle="1" w:styleId="IntroDefault">
    <w:name w:val="Intro Default"/>
    <w:basedOn w:val="Paragraph"/>
    <w:qFormat/>
    <w:rsid w:val="00EC2393"/>
  </w:style>
  <w:style w:type="paragraph" w:customStyle="1" w:styleId="IntroCustom">
    <w:name w:val="Intro Custom"/>
    <w:basedOn w:val="Paragraph"/>
    <w:qFormat/>
    <w:rsid w:val="00EC2393"/>
  </w:style>
  <w:style w:type="paragraph" w:customStyle="1" w:styleId="PrecedentType">
    <w:name w:val="Precedent Type"/>
    <w:basedOn w:val="IgnoredSpacing"/>
    <w:qFormat/>
    <w:rsid w:val="00EC2393"/>
  </w:style>
  <w:style w:type="paragraph" w:customStyle="1" w:styleId="Operative">
    <w:name w:val="Operative"/>
    <w:basedOn w:val="IgnoredSpacing"/>
    <w:qFormat/>
    <w:rsid w:val="00EC2393"/>
    <w:rPr>
      <w:vanish/>
    </w:rPr>
  </w:style>
  <w:style w:type="paragraph" w:customStyle="1" w:styleId="SpeedreadBulletList1">
    <w:name w:val="Speedread Bullet List 1"/>
    <w:basedOn w:val="BulletList1"/>
    <w:qFormat/>
    <w:rsid w:val="00EC2393"/>
    <w:rPr>
      <w:color w:val="000000"/>
    </w:rPr>
  </w:style>
  <w:style w:type="paragraph" w:customStyle="1" w:styleId="PartiesTitle">
    <w:name w:val="Parties Title"/>
    <w:basedOn w:val="Paragraph"/>
    <w:qFormat/>
    <w:rsid w:val="00EC2393"/>
    <w:rPr>
      <w:b/>
    </w:rPr>
  </w:style>
  <w:style w:type="table" w:styleId="TableGrid">
    <w:name w:val="Table Grid"/>
    <w:basedOn w:val="TableNormal"/>
    <w:uiPriority w:val="59"/>
    <w:rsid w:val="00B15D0C"/>
    <w:pPr>
      <w:spacing w:after="0" w:line="240" w:lineRule="auto"/>
    </w:pPr>
    <w:rPr>
      <w:rFonts w:ascii="Arial" w:eastAsiaTheme="minorHAnsi" w:hAnsi="Arial" w:cs="Arial"/>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EC2393"/>
    <w:pPr>
      <w:numPr>
        <w:numId w:val="3"/>
      </w:numPr>
      <w:shd w:val="clear" w:color="auto" w:fill="D9D9D9" w:themeFill="background1" w:themeFillShade="D9"/>
      <w:spacing w:after="120" w:line="240" w:lineRule="auto"/>
      <w:ind w:left="357" w:hanging="357"/>
      <w:outlineLvl w:val="0"/>
    </w:pPr>
    <w:rPr>
      <w:rFonts w:ascii="Arial" w:eastAsia="Arial Unicode MS" w:hAnsi="Arial" w:cs="Arial"/>
      <w:color w:val="000000"/>
      <w:lang w:val="en-US" w:eastAsia="en-US"/>
    </w:rPr>
  </w:style>
  <w:style w:type="paragraph" w:customStyle="1" w:styleId="BulletList1Pattern">
    <w:name w:val="Bullet List 1 + Pattern"/>
    <w:basedOn w:val="BulletList1"/>
    <w:qFormat/>
    <w:rsid w:val="00EC2393"/>
    <w:pPr>
      <w:shd w:val="clear" w:color="auto" w:fill="D9D9D9" w:themeFill="background1" w:themeFillShade="D9"/>
      <w:spacing w:after="120"/>
      <w:ind w:left="714" w:hanging="357"/>
    </w:pPr>
    <w:rPr>
      <w:color w:val="000000"/>
    </w:rPr>
  </w:style>
  <w:style w:type="character" w:customStyle="1" w:styleId="QuestionParagraphChar">
    <w:name w:val="Question Paragraph Char"/>
    <w:basedOn w:val="DefaultParagraphFont"/>
    <w:link w:val="QuestionParagraph"/>
    <w:rsid w:val="00EC2393"/>
    <w:rPr>
      <w:rFonts w:ascii="Arial" w:eastAsia="Arial Unicode MS" w:hAnsi="Arial" w:cs="Arial"/>
      <w:color w:val="000000"/>
      <w:shd w:val="clear" w:color="auto" w:fill="D9D9D9" w:themeFill="background1" w:themeFillShade="D9"/>
      <w:lang w:val="en-US" w:eastAsia="en-US"/>
    </w:rPr>
  </w:style>
  <w:style w:type="paragraph" w:customStyle="1" w:styleId="BulletList2Pattern">
    <w:name w:val="Bullet List 2 + Pattern"/>
    <w:basedOn w:val="BulletList2"/>
    <w:qFormat/>
    <w:rsid w:val="00EC2393"/>
    <w:pPr>
      <w:shd w:val="clear" w:color="auto" w:fill="D9D9D9" w:themeFill="background1" w:themeFillShade="D9"/>
      <w:ind w:left="1077"/>
    </w:pPr>
    <w:rPr>
      <w:color w:val="000000"/>
    </w:rPr>
  </w:style>
  <w:style w:type="paragraph" w:customStyle="1" w:styleId="TestimoniumContract">
    <w:name w:val="Testimonium Contract"/>
    <w:basedOn w:val="Paragraph"/>
    <w:qFormat/>
    <w:rsid w:val="00EC2393"/>
  </w:style>
  <w:style w:type="paragraph" w:customStyle="1" w:styleId="TestimoniumDeed">
    <w:name w:val="Testimonium Deed"/>
    <w:basedOn w:val="Paragraph"/>
    <w:qFormat/>
    <w:rsid w:val="00EC2393"/>
  </w:style>
  <w:style w:type="paragraph" w:customStyle="1" w:styleId="Titlesubclause2">
    <w:name w:val="Title subclause2"/>
    <w:basedOn w:val="Untitledsubclause2"/>
    <w:qFormat/>
    <w:rsid w:val="00EC2393"/>
    <w:rPr>
      <w:b/>
    </w:rPr>
  </w:style>
  <w:style w:type="paragraph" w:customStyle="1" w:styleId="Titlesubclause3">
    <w:name w:val="Title subclause3"/>
    <w:basedOn w:val="Untitledsubclause3"/>
    <w:qFormat/>
    <w:rsid w:val="00EC2393"/>
    <w:rPr>
      <w:b/>
    </w:rPr>
  </w:style>
  <w:style w:type="paragraph" w:customStyle="1" w:styleId="Titlesubclause4">
    <w:name w:val="Title subclause4"/>
    <w:basedOn w:val="Untitledsubclause4"/>
    <w:qFormat/>
    <w:rsid w:val="00EC2393"/>
    <w:rPr>
      <w:b/>
    </w:rPr>
  </w:style>
  <w:style w:type="paragraph" w:customStyle="1" w:styleId="UntitledClause">
    <w:name w:val="Untitled Clause"/>
    <w:basedOn w:val="TitleClause"/>
    <w:qFormat/>
    <w:rsid w:val="00EC2393"/>
    <w:pPr>
      <w:spacing w:before="120"/>
    </w:pPr>
    <w:rPr>
      <w:b w:val="0"/>
    </w:rPr>
  </w:style>
  <w:style w:type="paragraph" w:customStyle="1" w:styleId="Titlesubclause1">
    <w:name w:val="Title subclause1"/>
    <w:basedOn w:val="Untitledsubclause1"/>
    <w:qFormat/>
    <w:rsid w:val="00EC2393"/>
    <w:pPr>
      <w:spacing w:before="120"/>
    </w:pPr>
    <w:rPr>
      <w:b/>
    </w:rPr>
  </w:style>
  <w:style w:type="paragraph" w:customStyle="1" w:styleId="Schedule">
    <w:name w:val="Schedule"/>
    <w:qFormat/>
    <w:rsid w:val="00EC2393"/>
    <w:pPr>
      <w:numPr>
        <w:numId w:val="15"/>
      </w:numPr>
      <w:spacing w:before="240" w:after="240" w:line="240" w:lineRule="atLeast"/>
    </w:pPr>
    <w:rPr>
      <w:rFonts w:ascii="Arial" w:eastAsia="Arial Unicode MS" w:hAnsi="Arial" w:cs="Arial"/>
      <w:b/>
      <w:color w:val="000000"/>
      <w:lang w:val="en-US" w:eastAsia="en-US"/>
    </w:rPr>
  </w:style>
  <w:style w:type="character" w:customStyle="1" w:styleId="Heading1Char">
    <w:name w:val="Heading 1 Char"/>
    <w:aliases w:val="TSBONE Char,Numbered - 1 Char,Clause Char,Heading 1 Char1 Char Char,Heading 1 Char Char Char Char,Heading 1 Char3 Char Char Char Char,Heading 1 Char2 Char Char Char Char Char,Heading 1 Char1 Char Char Char Char Char Char,Heading 11 Char"/>
    <w:basedOn w:val="DefaultParagraphFont"/>
    <w:link w:val="Heading1"/>
    <w:uiPriority w:val="1"/>
    <w:rsid w:val="00B15D0C"/>
    <w:rPr>
      <w:rFonts w:ascii="Arial" w:eastAsia="Times New Roman" w:hAnsi="Arial" w:cs="Times New Roman"/>
      <w:b/>
      <w:color w:val="000000" w:themeColor="text1"/>
      <w:sz w:val="20"/>
      <w:szCs w:val="20"/>
    </w:rPr>
  </w:style>
  <w:style w:type="character" w:customStyle="1" w:styleId="Heading2Char">
    <w:name w:val="Heading 2 Char"/>
    <w:aliases w:val="TSBTWO Char,TSBTWO + 11 pt Char,Condensed by  0.1 pt Char,Numbered - 2 Char,H2 Char,Annex2 Char,Heading 2 Char1 Char Char,Heading 2 Char Char Char Char,Heading 2 Char2 Char Char Char Char,Heading 2 Char1 Char Char Char Char Char,2 Char"/>
    <w:basedOn w:val="DefaultParagraphFont"/>
    <w:link w:val="Heading2"/>
    <w:uiPriority w:val="1"/>
    <w:rsid w:val="00B15D0C"/>
    <w:rPr>
      <w:rFonts w:ascii="Arial" w:eastAsia="Times New Roman" w:hAnsi="Arial" w:cs="Times New Roman"/>
      <w:color w:val="000000" w:themeColor="text1"/>
      <w:sz w:val="20"/>
      <w:szCs w:val="20"/>
    </w:rPr>
  </w:style>
  <w:style w:type="character" w:customStyle="1" w:styleId="Heading3Char">
    <w:name w:val="Heading 3 Char"/>
    <w:aliases w:val="TSBTHREE Char,Numbered - 3 Char,Level 2 heading Char,Lev 3 Char,Heading 3 Char1 Char,Heading 3 Char Char1 Char,Heading 3 Char2 Char Char Char,Heading 3 Char Char2 Char Char Char,Heading 3 Char1 Char Char Char Char Char,h3 Char,3 Char"/>
    <w:basedOn w:val="DefaultParagraphFont"/>
    <w:link w:val="Heading3"/>
    <w:uiPriority w:val="1"/>
    <w:rsid w:val="00B15D0C"/>
    <w:rPr>
      <w:rFonts w:ascii="Arial" w:eastAsia="Times New Roman" w:hAnsi="Arial" w:cs="Times New Roman"/>
      <w:color w:val="000000" w:themeColor="text1"/>
      <w:sz w:val="20"/>
      <w:szCs w:val="20"/>
    </w:rPr>
  </w:style>
  <w:style w:type="character" w:customStyle="1" w:styleId="Heading4Char">
    <w:name w:val="Heading 4 Char"/>
    <w:aliases w:val="TSBFOUR Char,Numbered - 4 Char,Heading 4 Char2 Char,Heading 4 Char Char1 Char,Heading 4 Char1 Char Char1 Char,Heading 4 Char Char Char Char1 Char,Heading 4 Char1 Char Char Char Char Char,Heading 4 Char Char Char Char Char Char Char"/>
    <w:basedOn w:val="DefaultParagraphFont"/>
    <w:link w:val="Heading4"/>
    <w:uiPriority w:val="1"/>
    <w:rsid w:val="00B15D0C"/>
    <w:rPr>
      <w:rFonts w:ascii="Arial" w:eastAsia="Times New Roman" w:hAnsi="Arial" w:cs="Times New Roman"/>
      <w:color w:val="000000" w:themeColor="text1"/>
      <w:sz w:val="20"/>
      <w:szCs w:val="20"/>
    </w:rPr>
  </w:style>
  <w:style w:type="character" w:customStyle="1" w:styleId="Heading5Char">
    <w:name w:val="Heading 5 Char"/>
    <w:aliases w:val="Numbered - 5 Char,Heading 5 Char1 Char Char,Heading 5 Char Char Char Char,Heading 5 Char1 Char Char Char Char,Heading 5 Char Char Char Char Char Char,Heading 5 Char1 Char1 Char,Heading 5 Char Char Char1 Char,Heading 51 Char,h5 Char,s Char"/>
    <w:basedOn w:val="DefaultParagraphFont"/>
    <w:link w:val="Heading5"/>
    <w:uiPriority w:val="1"/>
    <w:rsid w:val="00B15D0C"/>
    <w:rPr>
      <w:rFonts w:ascii="Arial" w:eastAsia="Times New Roman" w:hAnsi="Arial" w:cs="Times New Roman"/>
      <w:color w:val="000000" w:themeColor="text1"/>
      <w:sz w:val="20"/>
      <w:szCs w:val="20"/>
    </w:rPr>
  </w:style>
  <w:style w:type="character" w:customStyle="1" w:styleId="Heading6Char">
    <w:name w:val="Heading 6 Char"/>
    <w:aliases w:val="Lev 6 Char,Numbered - 6 Char,Lev 61 Char,Numbered - 61 Char,Lev 62 Char,Numbered - 62 Char,Lev 63 Char,Numbered - 63 Char,ITT t6 Char,PA Appendix Char,Legal Level 1. Char,bullet2 Char,h6 Char,Heading 6  Appendix Y &amp; Z Char,level 6 Char"/>
    <w:basedOn w:val="DefaultParagraphFont"/>
    <w:link w:val="Heading6"/>
    <w:uiPriority w:val="1"/>
    <w:rsid w:val="00B15D0C"/>
    <w:rPr>
      <w:rFonts w:ascii="Arial" w:eastAsia="Times New Roman" w:hAnsi="Arial" w:cs="Times New Roman"/>
      <w:color w:val="000000" w:themeColor="text1"/>
      <w:sz w:val="20"/>
      <w:szCs w:val="20"/>
    </w:rPr>
  </w:style>
  <w:style w:type="character" w:customStyle="1" w:styleId="Heading7Char">
    <w:name w:val="Heading 7 Char"/>
    <w:basedOn w:val="DefaultParagraphFont"/>
    <w:link w:val="Heading7"/>
    <w:uiPriority w:val="99"/>
    <w:semiHidden/>
    <w:rsid w:val="00B15D0C"/>
    <w:rPr>
      <w:rFonts w:ascii="Arial" w:eastAsiaTheme="minorHAnsi" w:hAnsi="Arial" w:cs="Arial"/>
      <w:sz w:val="20"/>
      <w:szCs w:val="20"/>
      <w:lang w:eastAsia="en-US"/>
    </w:rPr>
  </w:style>
  <w:style w:type="character" w:customStyle="1" w:styleId="Heading8Char">
    <w:name w:val="Heading 8 Char"/>
    <w:basedOn w:val="DefaultParagraphFont"/>
    <w:link w:val="Heading8"/>
    <w:uiPriority w:val="99"/>
    <w:semiHidden/>
    <w:rsid w:val="00B15D0C"/>
    <w:rPr>
      <w:rFonts w:ascii="Arial" w:eastAsiaTheme="minorHAnsi" w:hAnsi="Arial" w:cs="Arial"/>
      <w:sz w:val="20"/>
      <w:szCs w:val="20"/>
      <w:lang w:eastAsia="en-US"/>
    </w:rPr>
  </w:style>
  <w:style w:type="character" w:customStyle="1" w:styleId="Heading9Char">
    <w:name w:val="Heading 9 Char"/>
    <w:basedOn w:val="DefaultParagraphFont"/>
    <w:link w:val="Heading9"/>
    <w:uiPriority w:val="99"/>
    <w:semiHidden/>
    <w:rsid w:val="00B15D0C"/>
    <w:rPr>
      <w:rFonts w:ascii="Arial" w:eastAsiaTheme="minorHAnsi" w:hAnsi="Arial" w:cs="Arial"/>
      <w:sz w:val="20"/>
      <w:szCs w:val="20"/>
      <w:lang w:eastAsia="en-US"/>
    </w:rPr>
  </w:style>
  <w:style w:type="paragraph" w:customStyle="1" w:styleId="ScheduleTitle">
    <w:name w:val="Schedule Title"/>
    <w:basedOn w:val="Paragraph"/>
    <w:qFormat/>
    <w:rsid w:val="00EC2393"/>
    <w:rPr>
      <w:b/>
    </w:rPr>
  </w:style>
  <w:style w:type="paragraph" w:customStyle="1" w:styleId="Part">
    <w:name w:val="Part"/>
    <w:basedOn w:val="Paragraph"/>
    <w:qFormat/>
    <w:rsid w:val="00EC2393"/>
    <w:pPr>
      <w:numPr>
        <w:ilvl w:val="1"/>
        <w:numId w:val="15"/>
      </w:numPr>
      <w:spacing w:before="240" w:after="240"/>
      <w:jc w:val="left"/>
    </w:pPr>
    <w:rPr>
      <w:b/>
    </w:rPr>
  </w:style>
  <w:style w:type="paragraph" w:customStyle="1" w:styleId="AnnexTitle">
    <w:name w:val="Annex Title"/>
    <w:basedOn w:val="Paragraph"/>
    <w:next w:val="Paragraph"/>
    <w:qFormat/>
    <w:rsid w:val="00EC2393"/>
    <w:pPr>
      <w:spacing w:before="240" w:after="240"/>
    </w:pPr>
    <w:rPr>
      <w:b/>
    </w:rPr>
  </w:style>
  <w:style w:type="paragraph" w:customStyle="1" w:styleId="PartTitle">
    <w:name w:val="Part Title"/>
    <w:basedOn w:val="Paragraph"/>
    <w:qFormat/>
    <w:rsid w:val="00EC2393"/>
    <w:rPr>
      <w:b/>
    </w:rPr>
  </w:style>
  <w:style w:type="paragraph" w:customStyle="1" w:styleId="Testimonium">
    <w:name w:val="Testimonium"/>
    <w:basedOn w:val="Paragraph"/>
    <w:qFormat/>
    <w:rsid w:val="00EC2393"/>
  </w:style>
  <w:style w:type="character" w:customStyle="1" w:styleId="apple-converted-space">
    <w:name w:val="apple-converted-space"/>
    <w:basedOn w:val="DefaultParagraphFont"/>
    <w:rsid w:val="00EC2393"/>
    <w:rPr>
      <w:color w:val="000000"/>
    </w:rPr>
  </w:style>
  <w:style w:type="character" w:styleId="Emphasis">
    <w:name w:val="Emphasis"/>
    <w:basedOn w:val="DefaultParagraphFont"/>
    <w:uiPriority w:val="20"/>
    <w:qFormat/>
    <w:rsid w:val="00EC2393"/>
    <w:rPr>
      <w:i/>
      <w:iCs/>
      <w:color w:val="000000"/>
    </w:rPr>
  </w:style>
  <w:style w:type="paragraph" w:customStyle="1" w:styleId="NoNumTitle-Clause">
    <w:name w:val="No Num Title - Clause"/>
    <w:basedOn w:val="TitleClause"/>
    <w:qFormat/>
    <w:rsid w:val="00EC2393"/>
    <w:pPr>
      <w:numPr>
        <w:numId w:val="0"/>
      </w:numPr>
      <w:ind w:left="720"/>
    </w:pPr>
  </w:style>
  <w:style w:type="paragraph" w:customStyle="1" w:styleId="NoNumTitlesubclause1">
    <w:name w:val="No Num Title subclause1"/>
    <w:basedOn w:val="Titlesubclause1"/>
    <w:qFormat/>
    <w:rsid w:val="00EC2393"/>
    <w:pPr>
      <w:numPr>
        <w:ilvl w:val="0"/>
        <w:numId w:val="0"/>
      </w:numPr>
      <w:ind w:left="720"/>
    </w:pPr>
  </w:style>
  <w:style w:type="paragraph" w:customStyle="1" w:styleId="AddressLine">
    <w:name w:val="Address Line"/>
    <w:basedOn w:val="Paragraph"/>
    <w:qFormat/>
    <w:rsid w:val="00EC2393"/>
  </w:style>
  <w:style w:type="paragraph" w:styleId="Date">
    <w:name w:val="Date"/>
    <w:basedOn w:val="Paragraph"/>
    <w:qFormat/>
    <w:rsid w:val="00EC2393"/>
  </w:style>
  <w:style w:type="paragraph" w:customStyle="1" w:styleId="SalutationPara">
    <w:name w:val="Salutation Para"/>
    <w:basedOn w:val="Paragraph"/>
    <w:next w:val="Paragraph"/>
    <w:qFormat/>
    <w:rsid w:val="00EC2393"/>
    <w:pPr>
      <w:spacing w:before="240"/>
    </w:pPr>
  </w:style>
  <w:style w:type="character" w:styleId="FollowedHyperlink">
    <w:name w:val="FollowedHyperlink"/>
    <w:basedOn w:val="DefaultParagraphFont"/>
    <w:uiPriority w:val="1"/>
    <w:rsid w:val="00B15D0C"/>
    <w:rPr>
      <w:color w:val="800080" w:themeColor="followedHyperlink"/>
      <w:u w:val="single"/>
    </w:rPr>
  </w:style>
  <w:style w:type="character" w:customStyle="1" w:styleId="DefTerm">
    <w:name w:val="DefTerm"/>
    <w:basedOn w:val="DefaultParagraphFont"/>
    <w:uiPriority w:val="1"/>
    <w:qFormat/>
    <w:rsid w:val="00EC2393"/>
    <w:rPr>
      <w:b/>
      <w:color w:val="000000"/>
    </w:rPr>
  </w:style>
  <w:style w:type="table" w:customStyle="1" w:styleId="ShadedTable">
    <w:name w:val="Shaded Table"/>
    <w:basedOn w:val="TableNormal"/>
    <w:uiPriority w:val="99"/>
    <w:rsid w:val="00EC2393"/>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Letterhead">
    <w:name w:val="Letterhead"/>
    <w:basedOn w:val="Paragraph"/>
    <w:qFormat/>
    <w:rsid w:val="00EC2393"/>
    <w:rPr>
      <w:i/>
    </w:rPr>
  </w:style>
  <w:style w:type="paragraph" w:customStyle="1" w:styleId="LetterTitle">
    <w:name w:val="Letter Title"/>
    <w:basedOn w:val="Paragraph"/>
    <w:qFormat/>
    <w:rsid w:val="00EC2393"/>
    <w:rPr>
      <w:b/>
    </w:rPr>
  </w:style>
  <w:style w:type="paragraph" w:customStyle="1" w:styleId="LongQuestionPara">
    <w:name w:val="Long Question Para"/>
    <w:basedOn w:val="Paragraph"/>
    <w:link w:val="LongQuestionParaChar"/>
    <w:rsid w:val="00EC2393"/>
    <w:pPr>
      <w:numPr>
        <w:numId w:val="5"/>
      </w:numPr>
      <w:spacing w:before="240" w:after="240" w:line="240" w:lineRule="auto"/>
      <w:outlineLvl w:val="1"/>
    </w:pPr>
    <w:rPr>
      <w:lang w:val="en-US"/>
    </w:rPr>
  </w:style>
  <w:style w:type="character" w:customStyle="1" w:styleId="LongQuestionParaChar">
    <w:name w:val="Long Question Para Char"/>
    <w:basedOn w:val="DefaultParagraphFont"/>
    <w:link w:val="LongQuestionPara"/>
    <w:rsid w:val="00EC2393"/>
    <w:rPr>
      <w:rFonts w:ascii="Arial" w:eastAsia="Arial Unicode MS" w:hAnsi="Arial" w:cs="Arial"/>
      <w:color w:val="000000"/>
      <w:sz w:val="20"/>
      <w:szCs w:val="20"/>
      <w:lang w:val="en-US" w:eastAsia="en-US"/>
    </w:rPr>
  </w:style>
  <w:style w:type="paragraph" w:customStyle="1" w:styleId="ShortQuestionPara">
    <w:name w:val="Short Question Para"/>
    <w:basedOn w:val="Paragraph"/>
    <w:link w:val="ShortQuestionParaChar"/>
    <w:rsid w:val="00EC2393"/>
    <w:pPr>
      <w:shd w:val="clear" w:color="auto" w:fill="D9D9D9" w:themeFill="background1" w:themeFillShade="D9"/>
      <w:tabs>
        <w:tab w:val="left" w:pos="270"/>
      </w:tabs>
      <w:spacing w:after="40" w:line="240" w:lineRule="auto"/>
      <w:outlineLvl w:val="1"/>
    </w:pPr>
    <w:rPr>
      <w:bCs/>
      <w:lang w:val="en-US"/>
    </w:rPr>
  </w:style>
  <w:style w:type="character" w:customStyle="1" w:styleId="ShortQuestionParaChar">
    <w:name w:val="Short Question Para Char"/>
    <w:basedOn w:val="DefaultParagraphFont"/>
    <w:link w:val="ShortQuestionPara"/>
    <w:rsid w:val="00EC2393"/>
    <w:rPr>
      <w:rFonts w:ascii="Arial" w:eastAsia="Arial Unicode MS" w:hAnsi="Arial" w:cs="Arial"/>
      <w:bCs/>
      <w:color w:val="000000"/>
      <w:sz w:val="20"/>
      <w:szCs w:val="20"/>
      <w:shd w:val="clear" w:color="auto" w:fill="D9D9D9" w:themeFill="background1" w:themeFillShade="D9"/>
      <w:lang w:val="en-US" w:eastAsia="en-US"/>
    </w:rPr>
  </w:style>
  <w:style w:type="character" w:customStyle="1" w:styleId="ParagraphChar">
    <w:name w:val="Paragraph Char"/>
    <w:basedOn w:val="DefaultParagraphFont"/>
    <w:link w:val="Paragraph"/>
    <w:rsid w:val="00EC2393"/>
    <w:rPr>
      <w:rFonts w:ascii="Arial" w:eastAsia="Arial Unicode MS" w:hAnsi="Arial" w:cs="Arial"/>
      <w:color w:val="000000"/>
      <w:szCs w:val="20"/>
      <w:lang w:eastAsia="en-US"/>
    </w:rPr>
  </w:style>
  <w:style w:type="paragraph" w:customStyle="1" w:styleId="811D3A974D454A258B71E3C4DE24C4F210">
    <w:name w:val="811D3A974D454A258B71E3C4DE24C4F210"/>
    <w:rsid w:val="00A53818"/>
    <w:pPr>
      <w:spacing w:after="120" w:line="240" w:lineRule="auto"/>
    </w:pPr>
    <w:rPr>
      <w:rFonts w:ascii="Arial" w:eastAsia="Times New Roman" w:hAnsi="Arial" w:cs="Times New Roman"/>
      <w:color w:val="000000"/>
      <w:sz w:val="24"/>
      <w:lang w:val="en-US" w:eastAsia="en-US"/>
    </w:rPr>
  </w:style>
  <w:style w:type="paragraph" w:customStyle="1" w:styleId="ListParagraphLevel3">
    <w:name w:val="List Paragraph Level 3"/>
    <w:qFormat/>
    <w:rsid w:val="00EC2393"/>
    <w:pPr>
      <w:spacing w:after="120" w:line="240" w:lineRule="auto"/>
      <w:ind w:left="2160"/>
    </w:pPr>
    <w:rPr>
      <w:rFonts w:ascii="Times New Roman" w:eastAsia="Times New Roman" w:hAnsi="Times New Roman" w:cs="Times New Roman"/>
      <w:color w:val="000000"/>
      <w:sz w:val="24"/>
      <w:szCs w:val="20"/>
      <w:lang w:eastAsia="en-US"/>
    </w:rPr>
  </w:style>
  <w:style w:type="paragraph" w:customStyle="1" w:styleId="DocumentTitle">
    <w:name w:val="Document Title"/>
    <w:basedOn w:val="Paragraph"/>
    <w:qFormat/>
    <w:rsid w:val="00EC2393"/>
    <w:pPr>
      <w:jc w:val="center"/>
    </w:pPr>
    <w:rPr>
      <w:sz w:val="28"/>
    </w:rPr>
  </w:style>
  <w:style w:type="paragraph" w:customStyle="1" w:styleId="Title-Clause">
    <w:name w:val="Title - Clause"/>
    <w:aliases w:val="BIWS Heading 1"/>
    <w:basedOn w:val="Normal"/>
    <w:rsid w:val="00EC2393"/>
    <w:pPr>
      <w:keepNext/>
      <w:tabs>
        <w:tab w:val="num" w:pos="720"/>
      </w:tabs>
      <w:spacing w:before="240" w:after="240" w:line="300" w:lineRule="atLeast"/>
      <w:ind w:left="720" w:hanging="720"/>
      <w:jc w:val="both"/>
      <w:outlineLvl w:val="0"/>
    </w:pPr>
    <w:rPr>
      <w:rFonts w:eastAsia="Arial Unicode MS"/>
      <w:b/>
      <w:color w:val="000000"/>
      <w:kern w:val="28"/>
    </w:rPr>
  </w:style>
  <w:style w:type="paragraph" w:customStyle="1" w:styleId="Para-Clause-nonum">
    <w:name w:val="Para - Clause - no num"/>
    <w:aliases w:val="Body  clause"/>
    <w:basedOn w:val="Normal"/>
    <w:next w:val="Title-Clause"/>
    <w:rsid w:val="00EC2393"/>
    <w:pPr>
      <w:spacing w:before="120" w:after="120" w:line="300" w:lineRule="atLeast"/>
      <w:ind w:left="720"/>
      <w:jc w:val="both"/>
    </w:pPr>
    <w:rPr>
      <w:rFonts w:eastAsia="Arial Unicode MS"/>
      <w:color w:val="000000"/>
    </w:rPr>
  </w:style>
  <w:style w:type="paragraph" w:customStyle="1" w:styleId="Para-Clause">
    <w:name w:val="Para - Clause"/>
    <w:basedOn w:val="Title-Clause"/>
    <w:qFormat/>
    <w:rsid w:val="00EC2393"/>
    <w:pPr>
      <w:spacing w:before="120"/>
    </w:pPr>
    <w:rPr>
      <w:b w:val="0"/>
    </w:rPr>
  </w:style>
  <w:style w:type="paragraph" w:customStyle="1" w:styleId="CoversheetParagraph">
    <w:name w:val="Coversheet Paragraph"/>
    <w:basedOn w:val="Normal"/>
    <w:autoRedefine/>
    <w:rsid w:val="00EC2393"/>
    <w:pPr>
      <w:spacing w:line="300" w:lineRule="atLeast"/>
      <w:jc w:val="center"/>
    </w:pPr>
    <w:rPr>
      <w:rFonts w:ascii="Times New Roman" w:eastAsia="Times New Roman" w:hAnsi="Times New Roman" w:cs="Times New Roman"/>
      <w:color w:val="000000"/>
    </w:rPr>
  </w:style>
  <w:style w:type="paragraph" w:customStyle="1" w:styleId="CoversheetIntro">
    <w:name w:val="Coversheet Intro"/>
    <w:basedOn w:val="CoversheetTitle"/>
    <w:qFormat/>
    <w:rsid w:val="00EC2393"/>
    <w:rPr>
      <w:smallCaps w:val="0"/>
      <w:sz w:val="22"/>
    </w:rPr>
  </w:style>
  <w:style w:type="paragraph" w:customStyle="1" w:styleId="CoversheetStaticText">
    <w:name w:val="Coversheet Static Text"/>
    <w:basedOn w:val="CoversheetIntro"/>
    <w:qFormat/>
    <w:rsid w:val="00EC2393"/>
    <w:rPr>
      <w:b w:val="0"/>
    </w:rPr>
  </w:style>
  <w:style w:type="paragraph" w:customStyle="1" w:styleId="CoversheetParty">
    <w:name w:val="Coversheet Party"/>
    <w:basedOn w:val="CoversheetIntro"/>
    <w:qFormat/>
    <w:rsid w:val="00EC2393"/>
  </w:style>
  <w:style w:type="paragraph" w:customStyle="1" w:styleId="NoNumUntitledClause">
    <w:name w:val="No Num Untitled Clause"/>
    <w:basedOn w:val="UntitledClause"/>
    <w:qFormat/>
    <w:rsid w:val="00EC2393"/>
    <w:pPr>
      <w:numPr>
        <w:numId w:val="0"/>
      </w:numPr>
      <w:ind w:left="720"/>
    </w:pPr>
  </w:style>
  <w:style w:type="paragraph" w:customStyle="1" w:styleId="BackgroundSubclause1">
    <w:name w:val="Background Subclause1"/>
    <w:basedOn w:val="Background"/>
    <w:qFormat/>
    <w:rsid w:val="00EC2393"/>
    <w:pPr>
      <w:numPr>
        <w:numId w:val="0"/>
      </w:numPr>
    </w:pPr>
    <w:rPr>
      <w:color w:val="000000"/>
    </w:rPr>
  </w:style>
  <w:style w:type="paragraph" w:customStyle="1" w:styleId="BackgroundSubclause2">
    <w:name w:val="Background Subclause2"/>
    <w:basedOn w:val="Background"/>
    <w:qFormat/>
    <w:rsid w:val="00EC2393"/>
    <w:pPr>
      <w:numPr>
        <w:numId w:val="0"/>
      </w:numPr>
    </w:pPr>
    <w:rPr>
      <w:color w:val="000000"/>
    </w:rPr>
  </w:style>
  <w:style w:type="paragraph" w:customStyle="1" w:styleId="HeadingLevel2CQA">
    <w:name w:val="Heading Level 2 CQA"/>
    <w:basedOn w:val="HeadingLevel2"/>
    <w:qFormat/>
    <w:rsid w:val="00EC2393"/>
  </w:style>
  <w:style w:type="paragraph" w:customStyle="1" w:styleId="ClauseBullet1">
    <w:name w:val="Clause Bullet 1"/>
    <w:basedOn w:val="ParaClause"/>
    <w:qFormat/>
    <w:rsid w:val="00EC2393"/>
    <w:pPr>
      <w:numPr>
        <w:numId w:val="6"/>
      </w:numPr>
      <w:ind w:left="1077" w:hanging="357"/>
      <w:outlineLvl w:val="0"/>
    </w:pPr>
  </w:style>
  <w:style w:type="paragraph" w:customStyle="1" w:styleId="ClauseBullet2">
    <w:name w:val="Clause Bullet 2"/>
    <w:basedOn w:val="ParaClause"/>
    <w:qFormat/>
    <w:rsid w:val="00EC2393"/>
    <w:pPr>
      <w:numPr>
        <w:numId w:val="7"/>
      </w:numPr>
      <w:ind w:left="1434" w:hanging="357"/>
      <w:outlineLvl w:val="1"/>
    </w:pPr>
  </w:style>
  <w:style w:type="paragraph" w:customStyle="1" w:styleId="subclause1Bullet1">
    <w:name w:val="subclause 1 Bullet 1"/>
    <w:basedOn w:val="Parasubclause1"/>
    <w:qFormat/>
    <w:rsid w:val="00EC2393"/>
    <w:pPr>
      <w:numPr>
        <w:numId w:val="8"/>
      </w:numPr>
      <w:ind w:left="1077" w:hanging="357"/>
    </w:pPr>
  </w:style>
  <w:style w:type="paragraph" w:customStyle="1" w:styleId="subclause2Bullet1">
    <w:name w:val="subclause 2 Bullet 1"/>
    <w:basedOn w:val="Parasubclause2"/>
    <w:qFormat/>
    <w:rsid w:val="00EC2393"/>
    <w:pPr>
      <w:numPr>
        <w:numId w:val="10"/>
      </w:numPr>
      <w:ind w:left="1434" w:hanging="357"/>
    </w:pPr>
  </w:style>
  <w:style w:type="paragraph" w:customStyle="1" w:styleId="subclause3Bullet1">
    <w:name w:val="subclause 3 Bullet 1"/>
    <w:basedOn w:val="Parasubclause3"/>
    <w:qFormat/>
    <w:rsid w:val="00EC2393"/>
    <w:pPr>
      <w:numPr>
        <w:numId w:val="9"/>
      </w:numPr>
      <w:ind w:left="2273" w:hanging="357"/>
    </w:pPr>
  </w:style>
  <w:style w:type="paragraph" w:customStyle="1" w:styleId="subclause1Bullet2">
    <w:name w:val="subclause 1 Bullet 2"/>
    <w:basedOn w:val="Parasubclause1"/>
    <w:qFormat/>
    <w:rsid w:val="00EC2393"/>
    <w:pPr>
      <w:numPr>
        <w:numId w:val="11"/>
      </w:numPr>
      <w:ind w:left="1434" w:hanging="357"/>
    </w:pPr>
  </w:style>
  <w:style w:type="paragraph" w:customStyle="1" w:styleId="subclause2Bullet2">
    <w:name w:val="subclause 2 Bullet 2"/>
    <w:basedOn w:val="Parasubclause2"/>
    <w:qFormat/>
    <w:rsid w:val="00EC2393"/>
    <w:pPr>
      <w:numPr>
        <w:numId w:val="12"/>
      </w:numPr>
      <w:ind w:left="2273" w:hanging="357"/>
    </w:pPr>
  </w:style>
  <w:style w:type="paragraph" w:customStyle="1" w:styleId="subclause3Bullet2">
    <w:name w:val="subclause 3 Bullet 2"/>
    <w:basedOn w:val="Parasubclause3"/>
    <w:qFormat/>
    <w:rsid w:val="00EC2393"/>
    <w:pPr>
      <w:numPr>
        <w:numId w:val="13"/>
      </w:numPr>
      <w:ind w:left="2982" w:hanging="357"/>
    </w:pPr>
  </w:style>
  <w:style w:type="paragraph" w:customStyle="1" w:styleId="DefinedTermBullet">
    <w:name w:val="Defined Term Bullet"/>
    <w:basedOn w:val="DefinedTermPara"/>
    <w:qFormat/>
    <w:rsid w:val="00EC2393"/>
    <w:pPr>
      <w:numPr>
        <w:numId w:val="14"/>
      </w:numPr>
    </w:pPr>
  </w:style>
  <w:style w:type="paragraph" w:customStyle="1" w:styleId="DefinedTermNumber">
    <w:name w:val="Defined Term Number"/>
    <w:basedOn w:val="DefinedTermPara"/>
    <w:qFormat/>
    <w:rsid w:val="00EC2393"/>
    <w:pPr>
      <w:numPr>
        <w:ilvl w:val="1"/>
      </w:numPr>
    </w:pPr>
  </w:style>
  <w:style w:type="paragraph" w:customStyle="1" w:styleId="AdditionalTitle">
    <w:name w:val="Additional Title"/>
    <w:basedOn w:val="Paragraph"/>
    <w:qFormat/>
    <w:rsid w:val="00EC2393"/>
    <w:pPr>
      <w:jc w:val="left"/>
    </w:pPr>
    <w:rPr>
      <w:b/>
      <w:sz w:val="24"/>
    </w:rPr>
  </w:style>
  <w:style w:type="character" w:customStyle="1" w:styleId="error">
    <w:name w:val="error"/>
    <w:basedOn w:val="DefaultParagraphFont"/>
    <w:rsid w:val="00EC2393"/>
    <w:rPr>
      <w:color w:val="000000"/>
    </w:rPr>
  </w:style>
  <w:style w:type="paragraph" w:customStyle="1" w:styleId="NoNumUntitledsubclause1">
    <w:name w:val="No Num Untitled subclause 1"/>
    <w:basedOn w:val="Untitledsubclause1"/>
    <w:qFormat/>
    <w:rsid w:val="00EC2393"/>
    <w:pPr>
      <w:numPr>
        <w:ilvl w:val="0"/>
        <w:numId w:val="0"/>
      </w:numPr>
      <w:ind w:left="720"/>
    </w:pPr>
  </w:style>
  <w:style w:type="paragraph" w:customStyle="1" w:styleId="BackgroundParaClause">
    <w:name w:val="Background Para Clause"/>
    <w:basedOn w:val="Background"/>
    <w:qFormat/>
    <w:rsid w:val="00EC2393"/>
    <w:pPr>
      <w:numPr>
        <w:numId w:val="0"/>
      </w:numPr>
    </w:pPr>
    <w:rPr>
      <w:color w:val="000000"/>
    </w:rPr>
  </w:style>
  <w:style w:type="paragraph" w:customStyle="1" w:styleId="BackgroundParaSubclause1">
    <w:name w:val="Background Para Subclause1"/>
    <w:basedOn w:val="BackgroundSubclause1"/>
    <w:qFormat/>
    <w:rsid w:val="00EC2393"/>
    <w:pPr>
      <w:ind w:left="994"/>
    </w:pPr>
    <w:rPr>
      <w:lang w:val="en-US"/>
    </w:rPr>
  </w:style>
  <w:style w:type="paragraph" w:customStyle="1" w:styleId="BackgroundParaSubclause2">
    <w:name w:val="Background Para Subclause2"/>
    <w:basedOn w:val="BackgroundSubclause2"/>
    <w:qFormat/>
    <w:rsid w:val="00EC2393"/>
    <w:pPr>
      <w:ind w:left="1701"/>
    </w:pPr>
    <w:rPr>
      <w:lang w:val="en-US"/>
    </w:rPr>
  </w:style>
  <w:style w:type="paragraph" w:customStyle="1" w:styleId="ClauseBulletPara">
    <w:name w:val="Clause Bullet Para"/>
    <w:basedOn w:val="ClauseBullet1"/>
    <w:qFormat/>
    <w:rsid w:val="00EC2393"/>
    <w:pPr>
      <w:numPr>
        <w:numId w:val="0"/>
      </w:numPr>
      <w:ind w:left="1080"/>
    </w:pPr>
    <w:rPr>
      <w:lang w:val="en-US"/>
    </w:rPr>
  </w:style>
  <w:style w:type="paragraph" w:customStyle="1" w:styleId="ClauseBullet2Para">
    <w:name w:val="Clause Bullet 2 Para"/>
    <w:basedOn w:val="ClauseBullet2"/>
    <w:qFormat/>
    <w:rsid w:val="00EC2393"/>
    <w:pPr>
      <w:numPr>
        <w:numId w:val="0"/>
      </w:numPr>
      <w:ind w:left="1440"/>
    </w:pPr>
    <w:rPr>
      <w:lang w:val="en-US"/>
    </w:rPr>
  </w:style>
  <w:style w:type="paragraph" w:customStyle="1" w:styleId="ACTJurisdictionCheckList">
    <w:name w:val="ACTJurisdictionCheckList"/>
    <w:basedOn w:val="Normal"/>
    <w:rsid w:val="00EC2393"/>
    <w:pPr>
      <w:spacing w:after="120" w:line="300" w:lineRule="atLeast"/>
    </w:pPr>
    <w:rPr>
      <w:rFonts w:eastAsia="Arial Unicode MS"/>
      <w:b/>
      <w:color w:val="000000"/>
      <w:sz w:val="28"/>
    </w:rPr>
  </w:style>
  <w:style w:type="paragraph" w:customStyle="1" w:styleId="JurisdictionDraftingnoteTitle">
    <w:name w:val="Jurisdiction Draftingnote Title"/>
    <w:basedOn w:val="DraftingnoteTitle"/>
    <w:qFormat/>
    <w:rsid w:val="00EC2393"/>
  </w:style>
  <w:style w:type="paragraph" w:customStyle="1" w:styleId="ScheduleTitleClause">
    <w:name w:val="Schedule Title Clause"/>
    <w:basedOn w:val="Normal"/>
    <w:rsid w:val="00EC2393"/>
    <w:pPr>
      <w:keepNext/>
      <w:numPr>
        <w:ilvl w:val="2"/>
        <w:numId w:val="15"/>
      </w:numPr>
      <w:spacing w:before="240" w:after="240" w:line="300" w:lineRule="atLeast"/>
      <w:jc w:val="both"/>
      <w:outlineLvl w:val="0"/>
    </w:pPr>
    <w:rPr>
      <w:rFonts w:eastAsia="Arial Unicode MS"/>
      <w:b/>
      <w:color w:val="000000"/>
      <w:kern w:val="28"/>
    </w:rPr>
  </w:style>
  <w:style w:type="paragraph" w:customStyle="1" w:styleId="ScheduleUntitledsubclause1">
    <w:name w:val="Schedule Untitled subclause 1"/>
    <w:basedOn w:val="Normal"/>
    <w:rsid w:val="00EC2393"/>
    <w:pPr>
      <w:numPr>
        <w:ilvl w:val="3"/>
        <w:numId w:val="15"/>
      </w:numPr>
      <w:spacing w:before="280" w:after="120" w:line="300" w:lineRule="atLeast"/>
      <w:jc w:val="both"/>
      <w:outlineLvl w:val="1"/>
    </w:pPr>
    <w:rPr>
      <w:rFonts w:eastAsia="Arial Unicode MS"/>
      <w:color w:val="000000"/>
    </w:rPr>
  </w:style>
  <w:style w:type="paragraph" w:customStyle="1" w:styleId="ScheduleUntitledsubclause2">
    <w:name w:val="Schedule Untitled subclause 2"/>
    <w:basedOn w:val="Normal"/>
    <w:rsid w:val="00EC2393"/>
    <w:pPr>
      <w:numPr>
        <w:ilvl w:val="4"/>
        <w:numId w:val="15"/>
      </w:numPr>
      <w:spacing w:after="120" w:line="300" w:lineRule="atLeast"/>
      <w:jc w:val="both"/>
      <w:outlineLvl w:val="2"/>
    </w:pPr>
    <w:rPr>
      <w:rFonts w:eastAsia="Arial Unicode MS"/>
      <w:color w:val="000000"/>
    </w:rPr>
  </w:style>
  <w:style w:type="paragraph" w:customStyle="1" w:styleId="ScheduleUntitledsubclause3">
    <w:name w:val="Schedule Untitled subclause 3"/>
    <w:basedOn w:val="Normal"/>
    <w:rsid w:val="00EC2393"/>
    <w:pPr>
      <w:numPr>
        <w:ilvl w:val="5"/>
        <w:numId w:val="15"/>
      </w:numPr>
      <w:tabs>
        <w:tab w:val="left" w:pos="2261"/>
      </w:tabs>
      <w:spacing w:after="120" w:line="300" w:lineRule="atLeast"/>
      <w:jc w:val="both"/>
      <w:outlineLvl w:val="3"/>
    </w:pPr>
    <w:rPr>
      <w:rFonts w:eastAsia="Arial Unicode MS"/>
      <w:color w:val="000000"/>
    </w:rPr>
  </w:style>
  <w:style w:type="paragraph" w:customStyle="1" w:styleId="ScheduleUntitledsubclause4">
    <w:name w:val="Schedule Untitled subclause 4"/>
    <w:basedOn w:val="Normal"/>
    <w:rsid w:val="00EC2393"/>
    <w:pPr>
      <w:spacing w:after="120" w:line="300" w:lineRule="atLeast"/>
      <w:jc w:val="both"/>
      <w:outlineLvl w:val="4"/>
    </w:pPr>
    <w:rPr>
      <w:rFonts w:eastAsia="Arial Unicode MS"/>
      <w:color w:val="000000"/>
    </w:rPr>
  </w:style>
  <w:style w:type="paragraph" w:customStyle="1" w:styleId="BulletListPattern1">
    <w:name w:val="Bullet List Pattern 1"/>
    <w:basedOn w:val="BulletList1"/>
    <w:qFormat/>
    <w:rsid w:val="00EC2393"/>
    <w:pPr>
      <w:shd w:val="clear" w:color="auto" w:fill="D9D9D9" w:themeFill="background1" w:themeFillShade="D9"/>
      <w:spacing w:after="120"/>
      <w:ind w:left="714" w:hanging="357"/>
    </w:pPr>
    <w:rPr>
      <w:color w:val="000000"/>
    </w:rPr>
  </w:style>
  <w:style w:type="paragraph" w:customStyle="1" w:styleId="BulletListPattern2">
    <w:name w:val="Bullet List Pattern 2"/>
    <w:basedOn w:val="BulletList2"/>
    <w:qFormat/>
    <w:rsid w:val="00EC2393"/>
    <w:pPr>
      <w:shd w:val="clear" w:color="auto" w:fill="D9D9D9" w:themeFill="background1" w:themeFillShade="D9"/>
      <w:ind w:left="1077"/>
    </w:pPr>
    <w:rPr>
      <w:color w:val="000000"/>
    </w:rPr>
  </w:style>
  <w:style w:type="paragraph" w:customStyle="1" w:styleId="ScheduleUntitledClause">
    <w:name w:val="Schedule Untitled Clause"/>
    <w:basedOn w:val="ScheduleTitleClause"/>
    <w:qFormat/>
    <w:rsid w:val="00EC2393"/>
    <w:pPr>
      <w:spacing w:before="120"/>
    </w:pPr>
    <w:rPr>
      <w:b w:val="0"/>
    </w:rPr>
  </w:style>
  <w:style w:type="paragraph" w:customStyle="1" w:styleId="EmptyClausePara">
    <w:name w:val="Empty Clause Para"/>
    <w:basedOn w:val="IgnoredSpacing"/>
    <w:qFormat/>
    <w:rsid w:val="00EC2393"/>
  </w:style>
  <w:style w:type="paragraph" w:styleId="ListParagraph">
    <w:name w:val="List Paragraph"/>
    <w:basedOn w:val="Normal"/>
    <w:uiPriority w:val="34"/>
    <w:qFormat/>
    <w:rsid w:val="00EC2393"/>
    <w:pPr>
      <w:ind w:left="720"/>
      <w:contextualSpacing/>
    </w:pPr>
    <w:rPr>
      <w:color w:val="000000"/>
    </w:rPr>
  </w:style>
  <w:style w:type="paragraph" w:customStyle="1" w:styleId="ScheduleTitlesubclause1">
    <w:name w:val="Schedule Title subclause1"/>
    <w:basedOn w:val="ScheduleUntitledsubclause1"/>
    <w:qFormat/>
    <w:rsid w:val="00EC2393"/>
    <w:pPr>
      <w:spacing w:before="120"/>
    </w:pPr>
    <w:rPr>
      <w:b/>
    </w:rPr>
  </w:style>
  <w:style w:type="paragraph" w:customStyle="1" w:styleId="835FF0B0D5344FE4A8EE41F54AA7E17C16">
    <w:name w:val="835FF0B0D5344FE4A8EE41F54AA7E17C16"/>
    <w:rsid w:val="00751C08"/>
    <w:pPr>
      <w:spacing w:after="120" w:line="240" w:lineRule="auto"/>
    </w:pPr>
    <w:rPr>
      <w:rFonts w:ascii="Arial" w:eastAsia="Times New Roman" w:hAnsi="Arial" w:cs="Times New Roman"/>
      <w:color w:val="000000"/>
      <w:sz w:val="24"/>
      <w:szCs w:val="24"/>
      <w:lang w:val="en-US" w:eastAsia="en-US"/>
    </w:rPr>
  </w:style>
  <w:style w:type="paragraph" w:customStyle="1" w:styleId="SectorSpecificNoteTitle">
    <w:name w:val="Sector Specific Note Title"/>
    <w:basedOn w:val="JurisdictionDraftingnoteTitle"/>
    <w:qFormat/>
    <w:rsid w:val="00EC2393"/>
  </w:style>
  <w:style w:type="table" w:customStyle="1" w:styleId="ShadedTable1">
    <w:name w:val="Shaded Table1"/>
    <w:basedOn w:val="TableNormal"/>
    <w:uiPriority w:val="99"/>
    <w:rsid w:val="00EC2393"/>
    <w:pPr>
      <w:spacing w:after="0" w:line="240" w:lineRule="auto"/>
    </w:pPr>
    <w:rPr>
      <w:color w:val="000000"/>
    </w:rPr>
    <w:tblPr>
      <w:tblBorders>
        <w:top w:val="single" w:sz="4" w:space="0" w:color="auto"/>
        <w:left w:val="single" w:sz="4" w:space="0" w:color="auto"/>
        <w:bottom w:val="single" w:sz="4" w:space="0" w:color="auto"/>
        <w:right w:val="single" w:sz="4" w:space="0" w:color="auto"/>
      </w:tblBorders>
    </w:tblPr>
    <w:tcPr>
      <w:shd w:val="clear" w:color="auto" w:fill="EEECE1" w:themeFill="background2"/>
    </w:tcPr>
  </w:style>
  <w:style w:type="paragraph" w:customStyle="1" w:styleId="IgnoredEmptysubclause">
    <w:name w:val="Ignored Empty subclause"/>
    <w:basedOn w:val="Normal"/>
    <w:link w:val="IgnoredEmptysubclauseChar"/>
    <w:qFormat/>
    <w:rsid w:val="00EC2393"/>
    <w:rPr>
      <w:color w:val="000000"/>
    </w:rPr>
  </w:style>
  <w:style w:type="character" w:customStyle="1" w:styleId="IgnoredEmptysubclauseChar">
    <w:name w:val="Ignored Empty subclause Char"/>
    <w:basedOn w:val="DefaultParagraphFont"/>
    <w:link w:val="IgnoredEmptysubclause"/>
    <w:rsid w:val="00EC2393"/>
    <w:rPr>
      <w:color w:val="000000"/>
    </w:rPr>
  </w:style>
  <w:style w:type="character" w:customStyle="1" w:styleId="UnresolvedMention1">
    <w:name w:val="Unresolved Mention1"/>
    <w:basedOn w:val="DefaultParagraphFont"/>
    <w:uiPriority w:val="99"/>
    <w:semiHidden/>
    <w:unhideWhenUsed/>
    <w:rsid w:val="009A4114"/>
    <w:rPr>
      <w:color w:val="000000"/>
      <w:shd w:val="clear" w:color="auto" w:fill="E1DFDD"/>
    </w:rPr>
  </w:style>
  <w:style w:type="paragraph" w:customStyle="1" w:styleId="6B1115FCC3DC4C6AB2CF846F0C50B663">
    <w:name w:val="6B1115FCC3DC4C6AB2CF846F0C50B663"/>
    <w:rsid w:val="00BD65CE"/>
    <w:pPr>
      <w:spacing w:line="276" w:lineRule="auto"/>
    </w:pPr>
    <w:rPr>
      <w:color w:val="000000"/>
    </w:rPr>
  </w:style>
  <w:style w:type="table" w:customStyle="1" w:styleId="TableGrid1">
    <w:name w:val="Table Grid1"/>
    <w:basedOn w:val="TableNormal"/>
    <w:next w:val="TableGrid"/>
    <w:rsid w:val="004B517A"/>
    <w:pPr>
      <w:spacing w:after="0" w:line="240" w:lineRule="auto"/>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autoRedefine/>
    <w:uiPriority w:val="39"/>
    <w:rsid w:val="00B15D0C"/>
    <w:pPr>
      <w:tabs>
        <w:tab w:val="left" w:leader="dot" w:pos="1418"/>
        <w:tab w:val="right" w:leader="dot" w:pos="9072"/>
      </w:tabs>
      <w:spacing w:after="0" w:line="300" w:lineRule="exact"/>
      <w:ind w:left="1418" w:hanging="567"/>
    </w:pPr>
    <w:rPr>
      <w:rFonts w:ascii="Arial" w:eastAsia="Times New Roman" w:hAnsi="Arial" w:cs="Times New Roman"/>
      <w:color w:val="000000" w:themeColor="text1"/>
      <w:sz w:val="20"/>
      <w:szCs w:val="20"/>
    </w:rPr>
  </w:style>
  <w:style w:type="paragraph" w:customStyle="1" w:styleId="Body">
    <w:name w:val="Body"/>
    <w:qFormat/>
    <w:rsid w:val="00B15D0C"/>
    <w:pPr>
      <w:spacing w:after="240" w:line="240" w:lineRule="auto"/>
      <w:jc w:val="both"/>
    </w:pPr>
    <w:rPr>
      <w:rFonts w:ascii="Arial" w:eastAsia="Times New Roman" w:hAnsi="Arial" w:cs="Times New Roman"/>
      <w:color w:val="000000" w:themeColor="text1"/>
      <w:sz w:val="20"/>
      <w:szCs w:val="20"/>
    </w:rPr>
  </w:style>
  <w:style w:type="paragraph" w:customStyle="1" w:styleId="Body1">
    <w:name w:val="Body 1"/>
    <w:qFormat/>
    <w:rsid w:val="00B15D0C"/>
    <w:pPr>
      <w:spacing w:after="240" w:line="240" w:lineRule="auto"/>
      <w:ind w:left="851"/>
      <w:jc w:val="both"/>
    </w:pPr>
    <w:rPr>
      <w:rFonts w:ascii="Arial" w:eastAsia="Times New Roman" w:hAnsi="Arial" w:cs="Times New Roman"/>
      <w:color w:val="000000" w:themeColor="text1"/>
      <w:sz w:val="20"/>
      <w:szCs w:val="20"/>
    </w:rPr>
  </w:style>
  <w:style w:type="paragraph" w:customStyle="1" w:styleId="Body2">
    <w:name w:val="Body 2"/>
    <w:qFormat/>
    <w:rsid w:val="00B15D0C"/>
    <w:pPr>
      <w:spacing w:after="240" w:line="240" w:lineRule="auto"/>
      <w:ind w:left="1701"/>
      <w:jc w:val="both"/>
    </w:pPr>
    <w:rPr>
      <w:rFonts w:ascii="Arial" w:eastAsia="Times New Roman" w:hAnsi="Arial" w:cs="Times New Roman"/>
      <w:color w:val="000000" w:themeColor="text1"/>
      <w:sz w:val="20"/>
      <w:szCs w:val="20"/>
    </w:rPr>
  </w:style>
  <w:style w:type="paragraph" w:customStyle="1" w:styleId="Body3">
    <w:name w:val="Body 3"/>
    <w:qFormat/>
    <w:rsid w:val="00B15D0C"/>
    <w:pPr>
      <w:spacing w:after="240" w:line="240" w:lineRule="auto"/>
      <w:ind w:left="2552"/>
      <w:jc w:val="both"/>
    </w:pPr>
    <w:rPr>
      <w:rFonts w:ascii="Arial" w:eastAsia="Times New Roman" w:hAnsi="Arial" w:cs="Times New Roman"/>
      <w:color w:val="000000" w:themeColor="text1"/>
      <w:sz w:val="20"/>
      <w:szCs w:val="20"/>
    </w:rPr>
  </w:style>
  <w:style w:type="paragraph" w:customStyle="1" w:styleId="Body4">
    <w:name w:val="Body 4"/>
    <w:qFormat/>
    <w:rsid w:val="00B15D0C"/>
    <w:pPr>
      <w:spacing w:after="240" w:line="240" w:lineRule="auto"/>
      <w:ind w:left="3402"/>
      <w:jc w:val="both"/>
    </w:pPr>
    <w:rPr>
      <w:rFonts w:ascii="Arial" w:eastAsia="Times New Roman" w:hAnsi="Arial" w:cs="Times New Roman"/>
      <w:color w:val="000000" w:themeColor="text1"/>
      <w:sz w:val="20"/>
      <w:szCs w:val="20"/>
    </w:rPr>
  </w:style>
  <w:style w:type="paragraph" w:customStyle="1" w:styleId="Body5">
    <w:name w:val="Body 5"/>
    <w:qFormat/>
    <w:rsid w:val="00B15D0C"/>
    <w:pPr>
      <w:spacing w:after="240" w:line="240" w:lineRule="auto"/>
      <w:ind w:left="4253"/>
      <w:jc w:val="both"/>
    </w:pPr>
    <w:rPr>
      <w:rFonts w:ascii="Arial" w:eastAsia="Times New Roman" w:hAnsi="Arial" w:cs="Times New Roman"/>
      <w:color w:val="000000" w:themeColor="text1"/>
      <w:sz w:val="20"/>
      <w:szCs w:val="20"/>
    </w:rPr>
  </w:style>
  <w:style w:type="paragraph" w:customStyle="1" w:styleId="BodyCentred">
    <w:name w:val="Body Centred"/>
    <w:next w:val="Body"/>
    <w:qFormat/>
    <w:rsid w:val="00B15D0C"/>
    <w:pPr>
      <w:spacing w:after="240" w:line="240" w:lineRule="auto"/>
      <w:jc w:val="center"/>
    </w:pPr>
    <w:rPr>
      <w:rFonts w:ascii="Arial" w:eastAsia="Times New Roman" w:hAnsi="Arial" w:cs="Times New Roman"/>
      <w:color w:val="000000" w:themeColor="text1"/>
      <w:sz w:val="20"/>
      <w:szCs w:val="20"/>
    </w:rPr>
  </w:style>
  <w:style w:type="paragraph" w:customStyle="1" w:styleId="BodyIndentedList">
    <w:name w:val="Body Indented List"/>
    <w:qFormat/>
    <w:rsid w:val="00B15D0C"/>
    <w:pPr>
      <w:spacing w:after="0" w:line="240" w:lineRule="auto"/>
      <w:ind w:left="851"/>
    </w:pPr>
    <w:rPr>
      <w:rFonts w:ascii="Arial" w:eastAsia="Times New Roman" w:hAnsi="Arial" w:cs="Times New Roman"/>
      <w:color w:val="000000" w:themeColor="text1"/>
      <w:sz w:val="20"/>
      <w:szCs w:val="20"/>
    </w:rPr>
  </w:style>
  <w:style w:type="paragraph" w:customStyle="1" w:styleId="BodyList">
    <w:name w:val="Body List"/>
    <w:qFormat/>
    <w:rsid w:val="00B15D0C"/>
    <w:pPr>
      <w:spacing w:after="0" w:line="240" w:lineRule="auto"/>
    </w:pPr>
    <w:rPr>
      <w:rFonts w:ascii="Arial" w:eastAsia="Times New Roman" w:hAnsi="Arial" w:cs="Times New Roman"/>
      <w:color w:val="000000" w:themeColor="text1"/>
      <w:sz w:val="20"/>
      <w:szCs w:val="20"/>
    </w:rPr>
  </w:style>
  <w:style w:type="paragraph" w:customStyle="1" w:styleId="BoldHeading">
    <w:name w:val="Bold Heading"/>
    <w:next w:val="Body"/>
    <w:qFormat/>
    <w:rsid w:val="00B15D0C"/>
    <w:pPr>
      <w:keepNext/>
      <w:spacing w:after="240" w:line="240" w:lineRule="auto"/>
      <w:jc w:val="both"/>
    </w:pPr>
    <w:rPr>
      <w:rFonts w:ascii="Arial" w:eastAsia="Times New Roman" w:hAnsi="Arial" w:cs="Times New Roman"/>
      <w:b/>
      <w:color w:val="000000" w:themeColor="text1"/>
      <w:sz w:val="20"/>
      <w:szCs w:val="20"/>
    </w:rPr>
  </w:style>
  <w:style w:type="paragraph" w:customStyle="1" w:styleId="Bullet1">
    <w:name w:val="Bullet 1"/>
    <w:uiPriority w:val="1"/>
    <w:rsid w:val="00B15D0C"/>
    <w:pPr>
      <w:numPr>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2">
    <w:name w:val="Bullet 2"/>
    <w:uiPriority w:val="1"/>
    <w:rsid w:val="00B15D0C"/>
    <w:pPr>
      <w:numPr>
        <w:ilvl w:val="1"/>
        <w:numId w:val="18"/>
      </w:numPr>
      <w:spacing w:after="240" w:line="240" w:lineRule="auto"/>
      <w:jc w:val="both"/>
    </w:pPr>
    <w:rPr>
      <w:rFonts w:ascii="Arial" w:eastAsia="Times New Roman" w:hAnsi="Arial" w:cs="Times New Roman"/>
      <w:color w:val="000000" w:themeColor="text1"/>
      <w:sz w:val="20"/>
      <w:szCs w:val="20"/>
    </w:rPr>
  </w:style>
  <w:style w:type="paragraph" w:customStyle="1" w:styleId="Bullet3">
    <w:name w:val="Bullet 3"/>
    <w:uiPriority w:val="1"/>
    <w:rsid w:val="00B15D0C"/>
    <w:pPr>
      <w:numPr>
        <w:ilvl w:val="2"/>
        <w:numId w:val="18"/>
      </w:numPr>
      <w:spacing w:after="240" w:line="240" w:lineRule="auto"/>
      <w:jc w:val="both"/>
    </w:pPr>
    <w:rPr>
      <w:rFonts w:ascii="Arial" w:eastAsia="Times New Roman" w:hAnsi="Arial" w:cs="Times New Roman"/>
      <w:color w:val="000000" w:themeColor="text1"/>
      <w:sz w:val="20"/>
      <w:szCs w:val="20"/>
    </w:rPr>
  </w:style>
  <w:style w:type="paragraph" w:customStyle="1" w:styleId="ContentsHeading">
    <w:name w:val="Contents Heading"/>
    <w:next w:val="Body"/>
    <w:qFormat/>
    <w:rsid w:val="00B15D0C"/>
    <w:pPr>
      <w:spacing w:after="240" w:line="240" w:lineRule="auto"/>
      <w:ind w:left="851"/>
    </w:pPr>
    <w:rPr>
      <w:rFonts w:ascii="Arial" w:eastAsia="Times New Roman" w:hAnsi="Arial" w:cs="Times New Roman"/>
      <w:b/>
      <w:caps/>
      <w:color w:val="000000" w:themeColor="text1"/>
      <w:sz w:val="20"/>
      <w:szCs w:val="20"/>
    </w:rPr>
  </w:style>
  <w:style w:type="paragraph" w:customStyle="1" w:styleId="Definition">
    <w:name w:val="Definition"/>
    <w:rsid w:val="00B15D0C"/>
    <w:pPr>
      <w:numPr>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a">
    <w:name w:val="Definition (a)"/>
    <w:uiPriority w:val="1"/>
    <w:rsid w:val="00B15D0C"/>
    <w:pPr>
      <w:numPr>
        <w:ilvl w:val="1"/>
        <w:numId w:val="20"/>
      </w:numPr>
      <w:spacing w:after="240" w:line="240" w:lineRule="auto"/>
      <w:jc w:val="both"/>
    </w:pPr>
    <w:rPr>
      <w:rFonts w:ascii="Arial" w:eastAsia="Times New Roman" w:hAnsi="Arial" w:cs="Times New Roman"/>
      <w:color w:val="000000" w:themeColor="text1"/>
      <w:sz w:val="20"/>
      <w:szCs w:val="20"/>
    </w:rPr>
  </w:style>
  <w:style w:type="paragraph" w:customStyle="1" w:styleId="Definitioni">
    <w:name w:val="Definition (i)"/>
    <w:uiPriority w:val="1"/>
    <w:rsid w:val="00B15D0C"/>
    <w:pPr>
      <w:numPr>
        <w:ilvl w:val="2"/>
        <w:numId w:val="20"/>
      </w:numPr>
      <w:spacing w:after="240" w:line="240" w:lineRule="auto"/>
      <w:jc w:val="both"/>
    </w:pPr>
    <w:rPr>
      <w:rFonts w:ascii="Arial" w:eastAsia="Times New Roman" w:hAnsi="Arial" w:cs="Times New Roman"/>
      <w:color w:val="000000" w:themeColor="text1"/>
      <w:sz w:val="20"/>
      <w:szCs w:val="20"/>
    </w:rPr>
  </w:style>
  <w:style w:type="character" w:styleId="FootnoteReference">
    <w:name w:val="footnote reference"/>
    <w:basedOn w:val="DefaultParagraphFont"/>
    <w:uiPriority w:val="1"/>
    <w:rsid w:val="00B15D0C"/>
    <w:rPr>
      <w:vertAlign w:val="superscript"/>
    </w:rPr>
  </w:style>
  <w:style w:type="paragraph" w:styleId="FootnoteText">
    <w:name w:val="footnote text"/>
    <w:link w:val="FootnoteTextChar"/>
    <w:uiPriority w:val="1"/>
    <w:rsid w:val="00B15D0C"/>
    <w:pPr>
      <w:spacing w:after="0" w:line="240" w:lineRule="auto"/>
      <w:jc w:val="both"/>
    </w:pPr>
    <w:rPr>
      <w:rFonts w:ascii="Arial" w:eastAsia="Times New Roman" w:hAnsi="Arial" w:cs="Times New Roman"/>
      <w:color w:val="000000" w:themeColor="text1"/>
      <w:sz w:val="18"/>
      <w:szCs w:val="20"/>
    </w:rPr>
  </w:style>
  <w:style w:type="character" w:customStyle="1" w:styleId="FootnoteTextChar">
    <w:name w:val="Footnote Text Char"/>
    <w:basedOn w:val="DefaultParagraphFont"/>
    <w:link w:val="FootnoteText"/>
    <w:uiPriority w:val="1"/>
    <w:rsid w:val="00B15D0C"/>
    <w:rPr>
      <w:rFonts w:ascii="Arial" w:eastAsia="Times New Roman" w:hAnsi="Arial" w:cs="Times New Roman"/>
      <w:color w:val="000000" w:themeColor="text1"/>
      <w:sz w:val="18"/>
      <w:szCs w:val="20"/>
    </w:rPr>
  </w:style>
  <w:style w:type="paragraph" w:customStyle="1" w:styleId="Level1">
    <w:name w:val="Level 1"/>
    <w:uiPriority w:val="1"/>
    <w:qFormat/>
    <w:rsid w:val="00B15D0C"/>
    <w:pPr>
      <w:numPr>
        <w:ilvl w:val="2"/>
        <w:numId w:val="22"/>
      </w:numPr>
      <w:spacing w:after="240" w:line="240" w:lineRule="auto"/>
      <w:jc w:val="both"/>
      <w:outlineLvl w:val="2"/>
    </w:pPr>
    <w:rPr>
      <w:rFonts w:ascii="Arial" w:eastAsia="Times New Roman" w:hAnsi="Arial" w:cs="Times New Roman"/>
      <w:color w:val="000000" w:themeColor="text1"/>
      <w:sz w:val="20"/>
      <w:szCs w:val="20"/>
    </w:rPr>
  </w:style>
  <w:style w:type="paragraph" w:customStyle="1" w:styleId="Level2">
    <w:name w:val="Level 2"/>
    <w:uiPriority w:val="1"/>
    <w:qFormat/>
    <w:rsid w:val="00B15D0C"/>
    <w:pPr>
      <w:numPr>
        <w:ilvl w:val="3"/>
        <w:numId w:val="22"/>
      </w:numPr>
      <w:spacing w:after="240" w:line="240" w:lineRule="auto"/>
      <w:jc w:val="both"/>
      <w:outlineLvl w:val="3"/>
    </w:pPr>
    <w:rPr>
      <w:rFonts w:ascii="Arial" w:eastAsia="Times New Roman" w:hAnsi="Arial" w:cs="Times New Roman"/>
      <w:color w:val="000000" w:themeColor="text1"/>
      <w:sz w:val="20"/>
      <w:szCs w:val="20"/>
    </w:rPr>
  </w:style>
  <w:style w:type="paragraph" w:customStyle="1" w:styleId="Level3">
    <w:name w:val="Level 3"/>
    <w:uiPriority w:val="1"/>
    <w:qFormat/>
    <w:rsid w:val="00B15D0C"/>
    <w:pPr>
      <w:numPr>
        <w:ilvl w:val="4"/>
        <w:numId w:val="22"/>
      </w:numPr>
      <w:spacing w:after="240" w:line="240" w:lineRule="auto"/>
      <w:jc w:val="both"/>
      <w:outlineLvl w:val="4"/>
    </w:pPr>
    <w:rPr>
      <w:rFonts w:ascii="Arial" w:eastAsia="Times New Roman" w:hAnsi="Arial" w:cs="Times New Roman"/>
      <w:color w:val="000000" w:themeColor="text1"/>
      <w:sz w:val="20"/>
      <w:szCs w:val="20"/>
    </w:rPr>
  </w:style>
  <w:style w:type="paragraph" w:customStyle="1" w:styleId="Level4">
    <w:name w:val="Level 4"/>
    <w:uiPriority w:val="1"/>
    <w:qFormat/>
    <w:rsid w:val="00B15D0C"/>
    <w:pPr>
      <w:numPr>
        <w:ilvl w:val="5"/>
        <w:numId w:val="22"/>
      </w:numPr>
      <w:spacing w:after="240" w:line="240" w:lineRule="auto"/>
      <w:jc w:val="both"/>
      <w:outlineLvl w:val="5"/>
    </w:pPr>
    <w:rPr>
      <w:rFonts w:ascii="Arial" w:eastAsia="Times New Roman" w:hAnsi="Arial" w:cs="Times New Roman"/>
      <w:color w:val="000000" w:themeColor="text1"/>
      <w:sz w:val="20"/>
      <w:szCs w:val="20"/>
    </w:rPr>
  </w:style>
  <w:style w:type="paragraph" w:customStyle="1" w:styleId="Level5">
    <w:name w:val="Level 5"/>
    <w:uiPriority w:val="1"/>
    <w:qFormat/>
    <w:rsid w:val="00B15D0C"/>
    <w:pPr>
      <w:numPr>
        <w:ilvl w:val="6"/>
        <w:numId w:val="22"/>
      </w:numPr>
      <w:spacing w:after="240" w:line="240" w:lineRule="auto"/>
      <w:jc w:val="both"/>
      <w:outlineLvl w:val="6"/>
    </w:pPr>
    <w:rPr>
      <w:rFonts w:ascii="Arial" w:eastAsia="Times New Roman" w:hAnsi="Arial" w:cs="Times New Roman"/>
      <w:color w:val="000000" w:themeColor="text1"/>
      <w:sz w:val="20"/>
      <w:szCs w:val="20"/>
    </w:rPr>
  </w:style>
  <w:style w:type="paragraph" w:customStyle="1" w:styleId="Level6">
    <w:name w:val="Level 6"/>
    <w:uiPriority w:val="1"/>
    <w:qFormat/>
    <w:rsid w:val="00B15D0C"/>
    <w:pPr>
      <w:numPr>
        <w:ilvl w:val="7"/>
        <w:numId w:val="22"/>
      </w:numPr>
      <w:spacing w:after="240" w:line="240" w:lineRule="auto"/>
      <w:jc w:val="both"/>
      <w:outlineLvl w:val="7"/>
    </w:pPr>
    <w:rPr>
      <w:rFonts w:ascii="Arial" w:eastAsia="Times New Roman" w:hAnsi="Arial" w:cs="Times New Roman"/>
      <w:color w:val="000000" w:themeColor="text1"/>
      <w:sz w:val="20"/>
      <w:szCs w:val="20"/>
    </w:rPr>
  </w:style>
  <w:style w:type="paragraph" w:customStyle="1" w:styleId="MainHeading">
    <w:name w:val="Main Heading"/>
    <w:next w:val="Body"/>
    <w:link w:val="MainHeadingChar"/>
    <w:qFormat/>
    <w:rsid w:val="00B15D0C"/>
    <w:pPr>
      <w:keepNext/>
      <w:tabs>
        <w:tab w:val="right" w:pos="9072"/>
      </w:tabs>
      <w:spacing w:after="240" w:line="240" w:lineRule="auto"/>
      <w:ind w:left="851"/>
    </w:pPr>
    <w:rPr>
      <w:rFonts w:ascii="Arial" w:eastAsia="Times New Roman" w:hAnsi="Arial" w:cs="Times New Roman"/>
      <w:caps/>
      <w:color w:val="000000" w:themeColor="text1"/>
      <w:sz w:val="20"/>
      <w:szCs w:val="20"/>
    </w:rPr>
  </w:style>
  <w:style w:type="character" w:styleId="PageNumber">
    <w:name w:val="page number"/>
    <w:basedOn w:val="DefaultParagraphFont"/>
    <w:uiPriority w:val="1"/>
    <w:rsid w:val="00B15D0C"/>
    <w:rPr>
      <w:rFonts w:ascii="Arial" w:hAnsi="Arial" w:cs="Times New Roman"/>
      <w:sz w:val="20"/>
    </w:rPr>
  </w:style>
  <w:style w:type="paragraph" w:customStyle="1" w:styleId="PartHeading">
    <w:name w:val="Part Heading"/>
    <w:next w:val="Body"/>
    <w:uiPriority w:val="1"/>
    <w:rsid w:val="00B15D0C"/>
    <w:pPr>
      <w:numPr>
        <w:ilvl w:val="1"/>
        <w:numId w:val="22"/>
      </w:numPr>
      <w:spacing w:after="240" w:line="240" w:lineRule="auto"/>
      <w:jc w:val="center"/>
      <w:outlineLvl w:val="1"/>
    </w:pPr>
    <w:rPr>
      <w:rFonts w:ascii="Arial" w:eastAsia="Times New Roman" w:hAnsi="Arial" w:cs="Times New Roman"/>
      <w:b/>
      <w:color w:val="000000" w:themeColor="text1"/>
      <w:sz w:val="20"/>
      <w:szCs w:val="20"/>
    </w:rPr>
  </w:style>
  <w:style w:type="paragraph" w:customStyle="1" w:styleId="PartSubHeading">
    <w:name w:val="Part Sub Heading"/>
    <w:next w:val="Body"/>
    <w:qFormat/>
    <w:rsid w:val="00B15D0C"/>
    <w:pPr>
      <w:spacing w:after="240" w:line="240" w:lineRule="auto"/>
      <w:jc w:val="center"/>
    </w:pPr>
    <w:rPr>
      <w:rFonts w:ascii="Arial" w:eastAsia="Times New Roman" w:hAnsi="Arial" w:cs="Times New Roman"/>
      <w:b/>
      <w:color w:val="000000" w:themeColor="text1"/>
      <w:sz w:val="20"/>
      <w:szCs w:val="20"/>
    </w:rPr>
  </w:style>
  <w:style w:type="paragraph" w:customStyle="1" w:styleId="ScheduleSubHeading">
    <w:name w:val="Schedule Sub Heading"/>
    <w:next w:val="Body"/>
    <w:uiPriority w:val="1"/>
    <w:rsid w:val="00B15D0C"/>
    <w:pPr>
      <w:keepNext/>
      <w:numPr>
        <w:ilvl w:val="1"/>
        <w:numId w:val="26"/>
      </w:numPr>
      <w:spacing w:after="240" w:line="240" w:lineRule="auto"/>
      <w:jc w:val="center"/>
    </w:pPr>
    <w:rPr>
      <w:rFonts w:ascii="Arial" w:eastAsia="Times New Roman" w:hAnsi="Arial" w:cs="Times New Roman"/>
      <w:b/>
      <w:color w:val="000000" w:themeColor="text1"/>
      <w:sz w:val="20"/>
      <w:szCs w:val="20"/>
    </w:rPr>
  </w:style>
  <w:style w:type="paragraph" w:customStyle="1" w:styleId="SubHeading">
    <w:name w:val="Sub Heading"/>
    <w:next w:val="Body1"/>
    <w:qFormat/>
    <w:rsid w:val="00B15D0C"/>
    <w:pPr>
      <w:keepNext/>
      <w:spacing w:after="240" w:line="240" w:lineRule="auto"/>
      <w:ind w:left="851"/>
      <w:jc w:val="both"/>
    </w:pPr>
    <w:rPr>
      <w:rFonts w:ascii="Arial" w:eastAsia="Times New Roman" w:hAnsi="Arial" w:cs="Times New Roman"/>
      <w:i/>
      <w:color w:val="000000" w:themeColor="text1"/>
      <w:sz w:val="20"/>
      <w:szCs w:val="20"/>
    </w:rPr>
  </w:style>
  <w:style w:type="paragraph" w:styleId="TOC2">
    <w:name w:val="toc 2"/>
    <w:next w:val="Normal"/>
    <w:autoRedefine/>
    <w:uiPriority w:val="39"/>
    <w:rsid w:val="00B15D0C"/>
    <w:pPr>
      <w:tabs>
        <w:tab w:val="right" w:leader="dot" w:pos="9072"/>
      </w:tabs>
      <w:spacing w:after="0" w:line="300" w:lineRule="exact"/>
      <w:ind w:left="1418"/>
    </w:pPr>
    <w:rPr>
      <w:rFonts w:ascii="Arial" w:eastAsia="Times New Roman" w:hAnsi="Arial" w:cs="Times New Roman"/>
      <w:color w:val="000000" w:themeColor="text1"/>
      <w:sz w:val="20"/>
      <w:szCs w:val="20"/>
    </w:rPr>
  </w:style>
  <w:style w:type="paragraph" w:customStyle="1" w:styleId="LevelHeading1">
    <w:name w:val="Level Heading 1"/>
    <w:basedOn w:val="Level1"/>
    <w:next w:val="Body1"/>
    <w:uiPriority w:val="1"/>
    <w:qFormat/>
    <w:rsid w:val="00B15D0C"/>
    <w:pPr>
      <w:keepNext/>
    </w:pPr>
    <w:rPr>
      <w:b/>
    </w:rPr>
  </w:style>
  <w:style w:type="paragraph" w:customStyle="1" w:styleId="AnnexureSubHeading">
    <w:name w:val="Annexure Sub Heading"/>
    <w:next w:val="Body"/>
    <w:uiPriority w:val="1"/>
    <w:rsid w:val="00B15D0C"/>
    <w:pPr>
      <w:numPr>
        <w:ilvl w:val="1"/>
        <w:numId w:val="27"/>
      </w:numPr>
      <w:spacing w:after="240" w:line="240" w:lineRule="auto"/>
      <w:jc w:val="center"/>
    </w:pPr>
    <w:rPr>
      <w:rFonts w:ascii="Arial" w:eastAsia="Times New Roman" w:hAnsi="Arial" w:cs="Times New Roman"/>
      <w:b/>
      <w:color w:val="000000" w:themeColor="text1"/>
      <w:sz w:val="20"/>
      <w:szCs w:val="20"/>
    </w:rPr>
  </w:style>
  <w:style w:type="paragraph" w:customStyle="1" w:styleId="Annexure">
    <w:name w:val="Annexure"/>
    <w:next w:val="Body"/>
    <w:uiPriority w:val="1"/>
    <w:rsid w:val="00B15D0C"/>
    <w:pPr>
      <w:pageBreakBefore/>
      <w:numPr>
        <w:numId w:val="25"/>
      </w:numPr>
      <w:spacing w:after="240" w:line="240" w:lineRule="auto"/>
      <w:jc w:val="center"/>
    </w:pPr>
    <w:rPr>
      <w:rFonts w:ascii="Arial" w:eastAsia="Times New Roman" w:hAnsi="Arial" w:cs="Times New Roman"/>
      <w:b/>
      <w:color w:val="000000" w:themeColor="text1"/>
      <w:sz w:val="20"/>
      <w:szCs w:val="20"/>
    </w:rPr>
  </w:style>
  <w:style w:type="paragraph" w:customStyle="1" w:styleId="Bullet4">
    <w:name w:val="Bullet 4"/>
    <w:uiPriority w:val="1"/>
    <w:rsid w:val="00B15D0C"/>
    <w:pPr>
      <w:numPr>
        <w:ilvl w:val="3"/>
        <w:numId w:val="18"/>
      </w:numPr>
      <w:spacing w:after="240" w:line="240" w:lineRule="auto"/>
    </w:pPr>
    <w:rPr>
      <w:rFonts w:ascii="Arial" w:eastAsiaTheme="minorHAnsi" w:hAnsi="Arial" w:cs="Arial"/>
      <w:sz w:val="20"/>
      <w:szCs w:val="20"/>
      <w:lang w:eastAsia="en-US"/>
    </w:rPr>
  </w:style>
  <w:style w:type="paragraph" w:customStyle="1" w:styleId="Bullet5">
    <w:name w:val="Bullet 5"/>
    <w:uiPriority w:val="1"/>
    <w:rsid w:val="00B15D0C"/>
    <w:pPr>
      <w:numPr>
        <w:ilvl w:val="4"/>
        <w:numId w:val="18"/>
      </w:numPr>
      <w:spacing w:after="240" w:line="240" w:lineRule="auto"/>
    </w:pPr>
    <w:rPr>
      <w:rFonts w:ascii="Arial" w:eastAsiaTheme="minorHAnsi" w:hAnsi="Arial" w:cs="Arial"/>
      <w:sz w:val="20"/>
      <w:szCs w:val="20"/>
      <w:lang w:eastAsia="en-US"/>
    </w:rPr>
  </w:style>
  <w:style w:type="paragraph" w:customStyle="1" w:styleId="Bullet6">
    <w:name w:val="Bullet 6"/>
    <w:uiPriority w:val="1"/>
    <w:rsid w:val="00B15D0C"/>
    <w:pPr>
      <w:numPr>
        <w:ilvl w:val="5"/>
        <w:numId w:val="18"/>
      </w:numPr>
      <w:spacing w:after="240" w:line="240" w:lineRule="auto"/>
    </w:pPr>
    <w:rPr>
      <w:rFonts w:ascii="Arial" w:eastAsiaTheme="minorHAnsi" w:hAnsi="Arial" w:cs="Arial"/>
      <w:sz w:val="20"/>
      <w:szCs w:val="20"/>
      <w:lang w:eastAsia="en-US"/>
    </w:rPr>
  </w:style>
  <w:style w:type="paragraph" w:customStyle="1" w:styleId="BulletList4">
    <w:name w:val="Bullet List 4"/>
    <w:uiPriority w:val="1"/>
    <w:rsid w:val="00B15D0C"/>
    <w:pPr>
      <w:numPr>
        <w:ilvl w:val="3"/>
        <w:numId w:val="19"/>
      </w:numPr>
      <w:spacing w:after="0" w:line="240" w:lineRule="auto"/>
    </w:pPr>
    <w:rPr>
      <w:rFonts w:ascii="Arial" w:eastAsiaTheme="minorHAnsi" w:hAnsi="Arial" w:cs="Arial"/>
      <w:sz w:val="20"/>
      <w:szCs w:val="20"/>
      <w:lang w:eastAsia="en-US"/>
    </w:rPr>
  </w:style>
  <w:style w:type="paragraph" w:customStyle="1" w:styleId="BulletList5">
    <w:name w:val="Bullet List 5"/>
    <w:uiPriority w:val="1"/>
    <w:rsid w:val="00B15D0C"/>
    <w:pPr>
      <w:numPr>
        <w:ilvl w:val="4"/>
        <w:numId w:val="19"/>
      </w:numPr>
      <w:spacing w:after="0" w:line="240" w:lineRule="auto"/>
    </w:pPr>
    <w:rPr>
      <w:rFonts w:ascii="Arial" w:eastAsiaTheme="minorHAnsi" w:hAnsi="Arial" w:cs="Arial"/>
      <w:sz w:val="20"/>
      <w:szCs w:val="20"/>
      <w:lang w:eastAsia="en-US"/>
    </w:rPr>
  </w:style>
  <w:style w:type="paragraph" w:customStyle="1" w:styleId="BulletList6">
    <w:name w:val="Bullet List 6"/>
    <w:uiPriority w:val="1"/>
    <w:rsid w:val="00B15D0C"/>
    <w:pPr>
      <w:numPr>
        <w:ilvl w:val="5"/>
        <w:numId w:val="19"/>
      </w:numPr>
      <w:spacing w:after="0" w:line="240" w:lineRule="auto"/>
    </w:pPr>
    <w:rPr>
      <w:rFonts w:ascii="Arial" w:eastAsiaTheme="minorHAnsi" w:hAnsi="Arial" w:cs="Arial"/>
      <w:sz w:val="20"/>
      <w:szCs w:val="20"/>
      <w:lang w:eastAsia="en-US"/>
    </w:rPr>
  </w:style>
  <w:style w:type="character" w:customStyle="1" w:styleId="MainHeadingChar">
    <w:name w:val="Main Heading Char"/>
    <w:basedOn w:val="DefaultParagraphFont"/>
    <w:link w:val="MainHeading"/>
    <w:rsid w:val="00B15D0C"/>
    <w:rPr>
      <w:rFonts w:ascii="Arial" w:eastAsia="Times New Roman" w:hAnsi="Arial" w:cs="Times New Roman"/>
      <w:caps/>
      <w:color w:val="000000" w:themeColor="text1"/>
      <w:sz w:val="20"/>
      <w:szCs w:val="20"/>
    </w:rPr>
  </w:style>
  <w:style w:type="paragraph" w:customStyle="1" w:styleId="ScheduleHeadingSingle">
    <w:name w:val="Schedule Heading Single"/>
    <w:next w:val="Body"/>
    <w:uiPriority w:val="1"/>
    <w:rsid w:val="00B15D0C"/>
    <w:pPr>
      <w:keepNext/>
      <w:pageBreakBefore/>
      <w:numPr>
        <w:numId w:val="26"/>
      </w:numPr>
      <w:spacing w:after="240" w:line="240" w:lineRule="auto"/>
      <w:jc w:val="center"/>
    </w:pPr>
    <w:rPr>
      <w:rFonts w:ascii="Arial" w:eastAsiaTheme="minorHAnsi" w:hAnsi="Arial" w:cs="Arial"/>
      <w:b/>
      <w:sz w:val="20"/>
      <w:szCs w:val="20"/>
      <w:lang w:eastAsia="en-US"/>
    </w:rPr>
  </w:style>
  <w:style w:type="paragraph" w:customStyle="1" w:styleId="AnnexureHeadingSingle">
    <w:name w:val="Annexure Heading Single"/>
    <w:next w:val="Body"/>
    <w:qFormat/>
    <w:rsid w:val="00B15D0C"/>
    <w:pPr>
      <w:pageBreakBefore/>
      <w:numPr>
        <w:numId w:val="27"/>
      </w:numPr>
      <w:spacing w:after="240" w:line="240" w:lineRule="auto"/>
      <w:jc w:val="center"/>
    </w:pPr>
    <w:rPr>
      <w:rFonts w:ascii="Arial" w:eastAsiaTheme="minorHAnsi" w:hAnsi="Arial" w:cs="Arial"/>
      <w:b/>
      <w:color w:val="000000" w:themeColor="text1"/>
      <w:sz w:val="20"/>
      <w:szCs w:val="20"/>
      <w:lang w:eastAsia="en-US"/>
    </w:rPr>
  </w:style>
  <w:style w:type="paragraph" w:styleId="TOC3">
    <w:name w:val="toc 3"/>
    <w:basedOn w:val="Normal"/>
    <w:next w:val="Normal"/>
    <w:autoRedefine/>
    <w:uiPriority w:val="39"/>
    <w:unhideWhenUsed/>
    <w:rsid w:val="00B15D0C"/>
    <w:pPr>
      <w:spacing w:after="100"/>
      <w:ind w:left="400"/>
      <w:jc w:val="both"/>
    </w:pPr>
  </w:style>
  <w:style w:type="paragraph" w:styleId="TOC4">
    <w:name w:val="toc 4"/>
    <w:basedOn w:val="Normal"/>
    <w:next w:val="Normal"/>
    <w:autoRedefine/>
    <w:uiPriority w:val="39"/>
    <w:semiHidden/>
    <w:unhideWhenUsed/>
    <w:rsid w:val="00B15D0C"/>
    <w:pPr>
      <w:spacing w:after="100"/>
      <w:ind w:left="600"/>
      <w:jc w:val="both"/>
    </w:pPr>
  </w:style>
  <w:style w:type="paragraph" w:styleId="TOC5">
    <w:name w:val="toc 5"/>
    <w:basedOn w:val="Normal"/>
    <w:next w:val="Normal"/>
    <w:autoRedefine/>
    <w:uiPriority w:val="39"/>
    <w:semiHidden/>
    <w:unhideWhenUsed/>
    <w:rsid w:val="00B15D0C"/>
    <w:pPr>
      <w:spacing w:after="100"/>
      <w:ind w:left="800"/>
      <w:jc w:val="both"/>
    </w:pPr>
  </w:style>
  <w:style w:type="paragraph" w:styleId="TOC6">
    <w:name w:val="toc 6"/>
    <w:basedOn w:val="Normal"/>
    <w:next w:val="Normal"/>
    <w:autoRedefine/>
    <w:uiPriority w:val="39"/>
    <w:semiHidden/>
    <w:unhideWhenUsed/>
    <w:rsid w:val="00B15D0C"/>
    <w:pPr>
      <w:spacing w:after="100"/>
      <w:ind w:left="1000"/>
      <w:jc w:val="both"/>
    </w:pPr>
  </w:style>
  <w:style w:type="paragraph" w:styleId="TOC7">
    <w:name w:val="toc 7"/>
    <w:basedOn w:val="Normal"/>
    <w:next w:val="Normal"/>
    <w:autoRedefine/>
    <w:uiPriority w:val="39"/>
    <w:semiHidden/>
    <w:unhideWhenUsed/>
    <w:rsid w:val="00B15D0C"/>
    <w:pPr>
      <w:spacing w:after="100"/>
      <w:ind w:left="1200"/>
      <w:jc w:val="both"/>
    </w:pPr>
  </w:style>
  <w:style w:type="paragraph" w:styleId="TOC8">
    <w:name w:val="toc 8"/>
    <w:basedOn w:val="Normal"/>
    <w:next w:val="Normal"/>
    <w:autoRedefine/>
    <w:uiPriority w:val="39"/>
    <w:semiHidden/>
    <w:unhideWhenUsed/>
    <w:rsid w:val="00B15D0C"/>
    <w:pPr>
      <w:spacing w:after="100"/>
      <w:ind w:left="1400"/>
      <w:jc w:val="both"/>
    </w:pPr>
  </w:style>
  <w:style w:type="paragraph" w:styleId="TOC9">
    <w:name w:val="toc 9"/>
    <w:basedOn w:val="Normal"/>
    <w:next w:val="Normal"/>
    <w:autoRedefine/>
    <w:uiPriority w:val="39"/>
    <w:semiHidden/>
    <w:unhideWhenUsed/>
    <w:rsid w:val="00B15D0C"/>
    <w:pPr>
      <w:spacing w:after="100"/>
      <w:ind w:left="1600"/>
      <w:jc w:val="both"/>
    </w:pPr>
  </w:style>
  <w:style w:type="paragraph" w:styleId="TOCHeading">
    <w:name w:val="TOC Heading"/>
    <w:basedOn w:val="Heading1"/>
    <w:next w:val="Normal"/>
    <w:uiPriority w:val="39"/>
    <w:semiHidden/>
    <w:unhideWhenUsed/>
    <w:qFormat/>
    <w:rsid w:val="00B15D0C"/>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numbering" w:styleId="111111">
    <w:name w:val="Outline List 2"/>
    <w:basedOn w:val="NoList"/>
    <w:uiPriority w:val="99"/>
    <w:semiHidden/>
    <w:unhideWhenUsed/>
    <w:rsid w:val="00B15D0C"/>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28967">
      <w:bodyDiv w:val="1"/>
      <w:marLeft w:val="0"/>
      <w:marRight w:val="0"/>
      <w:marTop w:val="0"/>
      <w:marBottom w:val="0"/>
      <w:divBdr>
        <w:top w:val="none" w:sz="0" w:space="0" w:color="auto"/>
        <w:left w:val="none" w:sz="0" w:space="0" w:color="auto"/>
        <w:bottom w:val="none" w:sz="0" w:space="0" w:color="auto"/>
        <w:right w:val="none" w:sz="0" w:space="0" w:color="auto"/>
      </w:divBdr>
      <w:divsChild>
        <w:div w:id="889144942">
          <w:marLeft w:val="0"/>
          <w:marRight w:val="0"/>
          <w:marTop w:val="0"/>
          <w:marBottom w:val="0"/>
          <w:divBdr>
            <w:top w:val="none" w:sz="0" w:space="0" w:color="auto"/>
            <w:left w:val="none" w:sz="0" w:space="0" w:color="auto"/>
            <w:bottom w:val="none" w:sz="0" w:space="0" w:color="auto"/>
            <w:right w:val="none" w:sz="0" w:space="0" w:color="auto"/>
          </w:divBdr>
          <w:divsChild>
            <w:div w:id="1797718714">
              <w:marLeft w:val="0"/>
              <w:marRight w:val="0"/>
              <w:marTop w:val="0"/>
              <w:marBottom w:val="0"/>
              <w:divBdr>
                <w:top w:val="none" w:sz="0" w:space="0" w:color="auto"/>
                <w:left w:val="none" w:sz="0" w:space="0" w:color="auto"/>
                <w:bottom w:val="none" w:sz="0" w:space="0" w:color="auto"/>
                <w:right w:val="none" w:sz="0" w:space="0" w:color="auto"/>
              </w:divBdr>
            </w:div>
          </w:divsChild>
        </w:div>
        <w:div w:id="28802031">
          <w:marLeft w:val="0"/>
          <w:marRight w:val="0"/>
          <w:marTop w:val="240"/>
          <w:marBottom w:val="240"/>
          <w:divBdr>
            <w:top w:val="none" w:sz="0" w:space="0" w:color="auto"/>
            <w:left w:val="none" w:sz="0" w:space="0" w:color="auto"/>
            <w:bottom w:val="none" w:sz="0" w:space="0" w:color="auto"/>
            <w:right w:val="none" w:sz="0" w:space="0" w:color="auto"/>
          </w:divBdr>
        </w:div>
        <w:div w:id="281693895">
          <w:marLeft w:val="0"/>
          <w:marRight w:val="0"/>
          <w:marTop w:val="0"/>
          <w:marBottom w:val="0"/>
          <w:divBdr>
            <w:top w:val="none" w:sz="0" w:space="0" w:color="auto"/>
            <w:left w:val="none" w:sz="0" w:space="0" w:color="auto"/>
            <w:bottom w:val="none" w:sz="0" w:space="0" w:color="auto"/>
            <w:right w:val="none" w:sz="0" w:space="0" w:color="auto"/>
          </w:divBdr>
          <w:divsChild>
            <w:div w:id="417556985">
              <w:marLeft w:val="0"/>
              <w:marRight w:val="0"/>
              <w:marTop w:val="0"/>
              <w:marBottom w:val="0"/>
              <w:divBdr>
                <w:top w:val="none" w:sz="0" w:space="0" w:color="auto"/>
                <w:left w:val="none" w:sz="0" w:space="0" w:color="auto"/>
                <w:bottom w:val="none" w:sz="0" w:space="0" w:color="auto"/>
                <w:right w:val="none" w:sz="0" w:space="0" w:color="auto"/>
              </w:divBdr>
              <w:divsChild>
                <w:div w:id="724374253">
                  <w:marLeft w:val="0"/>
                  <w:marRight w:val="0"/>
                  <w:marTop w:val="0"/>
                  <w:marBottom w:val="0"/>
                  <w:divBdr>
                    <w:top w:val="none" w:sz="0" w:space="0" w:color="auto"/>
                    <w:left w:val="none" w:sz="0" w:space="0" w:color="auto"/>
                    <w:bottom w:val="none" w:sz="0" w:space="0" w:color="auto"/>
                    <w:right w:val="none" w:sz="0" w:space="0" w:color="auto"/>
                  </w:divBdr>
                </w:div>
                <w:div w:id="565536345">
                  <w:marLeft w:val="0"/>
                  <w:marRight w:val="0"/>
                  <w:marTop w:val="0"/>
                  <w:marBottom w:val="0"/>
                  <w:divBdr>
                    <w:top w:val="none" w:sz="0" w:space="0" w:color="auto"/>
                    <w:left w:val="none" w:sz="0" w:space="0" w:color="auto"/>
                    <w:bottom w:val="none" w:sz="0" w:space="0" w:color="auto"/>
                    <w:right w:val="none" w:sz="0" w:space="0" w:color="auto"/>
                  </w:divBdr>
                </w:div>
              </w:divsChild>
            </w:div>
            <w:div w:id="29846914">
              <w:marLeft w:val="0"/>
              <w:marRight w:val="0"/>
              <w:marTop w:val="0"/>
              <w:marBottom w:val="0"/>
              <w:divBdr>
                <w:top w:val="none" w:sz="0" w:space="0" w:color="auto"/>
                <w:left w:val="none" w:sz="0" w:space="0" w:color="auto"/>
                <w:bottom w:val="none" w:sz="0" w:space="0" w:color="auto"/>
                <w:right w:val="none" w:sz="0" w:space="0" w:color="auto"/>
              </w:divBdr>
              <w:divsChild>
                <w:div w:id="1052076666">
                  <w:marLeft w:val="0"/>
                  <w:marRight w:val="0"/>
                  <w:marTop w:val="0"/>
                  <w:marBottom w:val="0"/>
                  <w:divBdr>
                    <w:top w:val="none" w:sz="0" w:space="0" w:color="auto"/>
                    <w:left w:val="none" w:sz="0" w:space="0" w:color="auto"/>
                    <w:bottom w:val="none" w:sz="0" w:space="0" w:color="auto"/>
                    <w:right w:val="none" w:sz="0" w:space="0" w:color="auto"/>
                  </w:divBdr>
                  <w:divsChild>
                    <w:div w:id="68494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619465">
              <w:marLeft w:val="0"/>
              <w:marRight w:val="0"/>
              <w:marTop w:val="0"/>
              <w:marBottom w:val="0"/>
              <w:divBdr>
                <w:top w:val="none" w:sz="0" w:space="0" w:color="auto"/>
                <w:left w:val="none" w:sz="0" w:space="0" w:color="auto"/>
                <w:bottom w:val="none" w:sz="0" w:space="0" w:color="auto"/>
                <w:right w:val="none" w:sz="0" w:space="0" w:color="auto"/>
              </w:divBdr>
              <w:divsChild>
                <w:div w:id="1772775314">
                  <w:marLeft w:val="0"/>
                  <w:marRight w:val="0"/>
                  <w:marTop w:val="0"/>
                  <w:marBottom w:val="0"/>
                  <w:divBdr>
                    <w:top w:val="none" w:sz="0" w:space="0" w:color="auto"/>
                    <w:left w:val="none" w:sz="0" w:space="0" w:color="auto"/>
                    <w:bottom w:val="none" w:sz="0" w:space="0" w:color="auto"/>
                    <w:right w:val="none" w:sz="0" w:space="0" w:color="auto"/>
                  </w:divBdr>
                  <w:divsChild>
                    <w:div w:id="125509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797635">
          <w:marLeft w:val="0"/>
          <w:marRight w:val="0"/>
          <w:marTop w:val="0"/>
          <w:marBottom w:val="0"/>
          <w:divBdr>
            <w:top w:val="none" w:sz="0" w:space="0" w:color="auto"/>
            <w:left w:val="none" w:sz="0" w:space="0" w:color="auto"/>
            <w:bottom w:val="none" w:sz="0" w:space="0" w:color="auto"/>
            <w:right w:val="none" w:sz="0" w:space="0" w:color="auto"/>
          </w:divBdr>
          <w:divsChild>
            <w:div w:id="1730883927">
              <w:marLeft w:val="0"/>
              <w:marRight w:val="0"/>
              <w:marTop w:val="0"/>
              <w:marBottom w:val="0"/>
              <w:divBdr>
                <w:top w:val="none" w:sz="0" w:space="0" w:color="auto"/>
                <w:left w:val="none" w:sz="0" w:space="0" w:color="auto"/>
                <w:bottom w:val="none" w:sz="0" w:space="0" w:color="auto"/>
                <w:right w:val="none" w:sz="0" w:space="0" w:color="auto"/>
              </w:divBdr>
              <w:divsChild>
                <w:div w:id="919407178">
                  <w:marLeft w:val="0"/>
                  <w:marRight w:val="0"/>
                  <w:marTop w:val="0"/>
                  <w:marBottom w:val="0"/>
                  <w:divBdr>
                    <w:top w:val="none" w:sz="0" w:space="0" w:color="auto"/>
                    <w:left w:val="none" w:sz="0" w:space="0" w:color="auto"/>
                    <w:bottom w:val="none" w:sz="0" w:space="0" w:color="auto"/>
                    <w:right w:val="none" w:sz="0" w:space="0" w:color="auto"/>
                  </w:divBdr>
                </w:div>
                <w:div w:id="954212854">
                  <w:marLeft w:val="0"/>
                  <w:marRight w:val="0"/>
                  <w:marTop w:val="0"/>
                  <w:marBottom w:val="0"/>
                  <w:divBdr>
                    <w:top w:val="none" w:sz="0" w:space="0" w:color="auto"/>
                    <w:left w:val="none" w:sz="0" w:space="0" w:color="auto"/>
                    <w:bottom w:val="none" w:sz="0" w:space="0" w:color="auto"/>
                    <w:right w:val="none" w:sz="0" w:space="0" w:color="auto"/>
                  </w:divBdr>
                </w:div>
              </w:divsChild>
            </w:div>
            <w:div w:id="1612786926">
              <w:marLeft w:val="0"/>
              <w:marRight w:val="0"/>
              <w:marTop w:val="0"/>
              <w:marBottom w:val="0"/>
              <w:divBdr>
                <w:top w:val="none" w:sz="0" w:space="0" w:color="auto"/>
                <w:left w:val="none" w:sz="0" w:space="0" w:color="auto"/>
                <w:bottom w:val="none" w:sz="0" w:space="0" w:color="auto"/>
                <w:right w:val="none" w:sz="0" w:space="0" w:color="auto"/>
              </w:divBdr>
              <w:divsChild>
                <w:div w:id="87848540">
                  <w:marLeft w:val="0"/>
                  <w:marRight w:val="0"/>
                  <w:marTop w:val="0"/>
                  <w:marBottom w:val="0"/>
                  <w:divBdr>
                    <w:top w:val="none" w:sz="0" w:space="0" w:color="auto"/>
                    <w:left w:val="none" w:sz="0" w:space="0" w:color="auto"/>
                    <w:bottom w:val="none" w:sz="0" w:space="0" w:color="auto"/>
                    <w:right w:val="none" w:sz="0" w:space="0" w:color="auto"/>
                  </w:divBdr>
                  <w:divsChild>
                    <w:div w:id="163278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5593">
              <w:marLeft w:val="0"/>
              <w:marRight w:val="0"/>
              <w:marTop w:val="0"/>
              <w:marBottom w:val="0"/>
              <w:divBdr>
                <w:top w:val="none" w:sz="0" w:space="0" w:color="auto"/>
                <w:left w:val="none" w:sz="0" w:space="0" w:color="auto"/>
                <w:bottom w:val="none" w:sz="0" w:space="0" w:color="auto"/>
                <w:right w:val="none" w:sz="0" w:space="0" w:color="auto"/>
              </w:divBdr>
              <w:divsChild>
                <w:div w:id="1518497386">
                  <w:marLeft w:val="0"/>
                  <w:marRight w:val="0"/>
                  <w:marTop w:val="0"/>
                  <w:marBottom w:val="0"/>
                  <w:divBdr>
                    <w:top w:val="none" w:sz="0" w:space="0" w:color="auto"/>
                    <w:left w:val="none" w:sz="0" w:space="0" w:color="auto"/>
                    <w:bottom w:val="none" w:sz="0" w:space="0" w:color="auto"/>
                    <w:right w:val="none" w:sz="0" w:space="0" w:color="auto"/>
                  </w:divBdr>
                  <w:divsChild>
                    <w:div w:id="68525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99002">
          <w:marLeft w:val="0"/>
          <w:marRight w:val="0"/>
          <w:marTop w:val="0"/>
          <w:marBottom w:val="0"/>
          <w:divBdr>
            <w:top w:val="none" w:sz="0" w:space="0" w:color="auto"/>
            <w:left w:val="none" w:sz="0" w:space="0" w:color="auto"/>
            <w:bottom w:val="none" w:sz="0" w:space="0" w:color="auto"/>
            <w:right w:val="none" w:sz="0" w:space="0" w:color="auto"/>
          </w:divBdr>
          <w:divsChild>
            <w:div w:id="657270386">
              <w:marLeft w:val="0"/>
              <w:marRight w:val="0"/>
              <w:marTop w:val="0"/>
              <w:marBottom w:val="0"/>
              <w:divBdr>
                <w:top w:val="none" w:sz="0" w:space="0" w:color="auto"/>
                <w:left w:val="none" w:sz="0" w:space="0" w:color="auto"/>
                <w:bottom w:val="none" w:sz="0" w:space="0" w:color="auto"/>
                <w:right w:val="none" w:sz="0" w:space="0" w:color="auto"/>
              </w:divBdr>
              <w:divsChild>
                <w:div w:id="1549880448">
                  <w:marLeft w:val="0"/>
                  <w:marRight w:val="0"/>
                  <w:marTop w:val="0"/>
                  <w:marBottom w:val="0"/>
                  <w:divBdr>
                    <w:top w:val="none" w:sz="0" w:space="0" w:color="auto"/>
                    <w:left w:val="none" w:sz="0" w:space="0" w:color="auto"/>
                    <w:bottom w:val="none" w:sz="0" w:space="0" w:color="auto"/>
                    <w:right w:val="none" w:sz="0" w:space="0" w:color="auto"/>
                  </w:divBdr>
                </w:div>
                <w:div w:id="1873028303">
                  <w:marLeft w:val="0"/>
                  <w:marRight w:val="0"/>
                  <w:marTop w:val="0"/>
                  <w:marBottom w:val="0"/>
                  <w:divBdr>
                    <w:top w:val="none" w:sz="0" w:space="0" w:color="auto"/>
                    <w:left w:val="none" w:sz="0" w:space="0" w:color="auto"/>
                    <w:bottom w:val="none" w:sz="0" w:space="0" w:color="auto"/>
                    <w:right w:val="none" w:sz="0" w:space="0" w:color="auto"/>
                  </w:divBdr>
                </w:div>
              </w:divsChild>
            </w:div>
            <w:div w:id="1043939073">
              <w:marLeft w:val="0"/>
              <w:marRight w:val="0"/>
              <w:marTop w:val="0"/>
              <w:marBottom w:val="0"/>
              <w:divBdr>
                <w:top w:val="none" w:sz="0" w:space="0" w:color="auto"/>
                <w:left w:val="none" w:sz="0" w:space="0" w:color="auto"/>
                <w:bottom w:val="none" w:sz="0" w:space="0" w:color="auto"/>
                <w:right w:val="none" w:sz="0" w:space="0" w:color="auto"/>
              </w:divBdr>
              <w:divsChild>
                <w:div w:id="133062381">
                  <w:marLeft w:val="0"/>
                  <w:marRight w:val="0"/>
                  <w:marTop w:val="0"/>
                  <w:marBottom w:val="0"/>
                  <w:divBdr>
                    <w:top w:val="none" w:sz="0" w:space="0" w:color="auto"/>
                    <w:left w:val="none" w:sz="0" w:space="0" w:color="auto"/>
                    <w:bottom w:val="none" w:sz="0" w:space="0" w:color="auto"/>
                    <w:right w:val="none" w:sz="0" w:space="0" w:color="auto"/>
                  </w:divBdr>
                  <w:divsChild>
                    <w:div w:id="179184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27037">
              <w:marLeft w:val="0"/>
              <w:marRight w:val="0"/>
              <w:marTop w:val="0"/>
              <w:marBottom w:val="0"/>
              <w:divBdr>
                <w:top w:val="none" w:sz="0" w:space="0" w:color="auto"/>
                <w:left w:val="none" w:sz="0" w:space="0" w:color="auto"/>
                <w:bottom w:val="none" w:sz="0" w:space="0" w:color="auto"/>
                <w:right w:val="none" w:sz="0" w:space="0" w:color="auto"/>
              </w:divBdr>
              <w:divsChild>
                <w:div w:id="82528371">
                  <w:marLeft w:val="0"/>
                  <w:marRight w:val="0"/>
                  <w:marTop w:val="0"/>
                  <w:marBottom w:val="0"/>
                  <w:divBdr>
                    <w:top w:val="none" w:sz="0" w:space="0" w:color="auto"/>
                    <w:left w:val="none" w:sz="0" w:space="0" w:color="auto"/>
                    <w:bottom w:val="none" w:sz="0" w:space="0" w:color="auto"/>
                    <w:right w:val="none" w:sz="0" w:space="0" w:color="auto"/>
                  </w:divBdr>
                  <w:divsChild>
                    <w:div w:id="6505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ustomXml" Target="../customXml/item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imanage.xml"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n-document xmlns:xsd="http://www.w3.org/2001/XMLSchema" xmlns:xsi="http://www.w3.org/2001/XMLSchema-instance" guid="0" synced="true" validated="true">
  <n-docbody>
    <standard.doc precedenttype="agreement">
      <prelim>
        <product.name>product.name0</product.name>
        <title>Issue of shares: board minutes: short form</title>
        <author>
          <link href="http://corporate.practicallaw.com/about/our-team/uk-corporate" style="ACTLinkURL">
            <ital>Practical Law Corporate</ital>
          </link>
        </author>
        <resource.type>Standard documents</resource.type>
        <juris>juris0</juris>
        <juris>juris1</juris>
      </prelim>
      <abstract>
        <para>
          <paratext>Short form board minutes approving the allotment and issue of shares by a private company, where any necessary shareholder resolutions will be passed using the written resolution procedure.</paratext>
        </para>
      </abstract>
      <toc.identifier hasToc="false"/>
      <body>
        <drafting.note id="a596428" jurisdiction="">
          <head align="left" preservecase="true">
            <headtext>About this document</headtext>
          </head>
          <division id="a000003" level="1">
            <division id="a165743" level="2">
              <head align="left" preservecase="true">
                <headtext>Scope of document and drafting assumptions</headtext>
              </head>
              <para>
                <paratext>This document is a set of short form board minutes for a board meeting held by the directors of a private company for the purpose of approving the allotment and issue of new shares. The minutes are drafted on the assumption that:</paratext>
              </para>
              <list type="bulleted">
                <list.item>
                  <para>
                    <paratext>The company is a private company limited by shares and incorporated in the UK.</paratext>
                  </para>
                </list.item>
                <list.item>
                  <para>
                    <paratext>
                      No shareholder resolutions are required in connection with the proposed allotment of shares, or to the extent that any resolutions are required, they will be passed using the written resolution procedure set out in Chapter 2 of Part 13 of Companies Act 2006. Note that the statutory written resolution procedure cannot be used by public companies (
                      <link href="6-505-5169" style="ACTLinkPLCtoPLC">
                        <ital>section 281(2)</ital>
                      </link>
                      <ital>, CA 2006</ital>
                      ). For further information on the written resolution procedure, see 
                      <link href="9-203-0859" style="ACTLinkPLCtoPLC">
                        <ital>Practice note, Written resolutions</ital>
                      </link>
                      .
                    </paratext>
                  </para>
                </list.item>
                <list.item>
                  <para>
                    <paratext>
                      The proposed allotment will not constitute a variation of class rights and so there will be no requirement for class consent, whether under 
                      <link href="2-505-5190" style="ACTLinkPLCtoPLC">
                        <ital>section 630</ital>
                      </link>
                       of the CA 2006 or the company's articles of association. For general information on class rights, see 
                      <link href="3-500-1366" style="ACTLinkPLCtoPLC">
                        <ital>Practice note, Share capital: class rights</ital>
                      </link>
                      .
                    </paratext>
                  </para>
                </list.item>
              </list>
              <para>
                <paratext>
                  In the drafting notes to this document, references to the CA 2006 are references to the 
                  <link href="3-503-8567" style="ACTLinkPLCtoPLC">
                    <ital>Companies Act 2006</ital>
                  </link>
                  .
                </paratext>
              </para>
            </division>
            <division id="a511582" level="2">
              <head align="left" preservecase="true">
                <headtext>Further reading on allotment of shares</headtext>
              </head>
              <para>
                <paratext>
                  For general information on the CA 2006 requirements relating to the allotment and issue of shares, see 
                  <link href="5-422-4150" style="ACTLinkPLCtoPLC">
                    <ital>Practice note, Allotment and issue of shares</ital>
                  </link>
                  .
                </paratext>
              </para>
              <para>
                <paratext>
                  For a checklist of steps to be taken on an allotment of shares, see 
                  <link href="7-422-4154" style="ACTLinkPLCtoPLC">
                    <ital>Checklist, Allotment of shares and disapplication of pre-emption rights</ital>
                  </link>
                  .
                </paratext>
              </para>
              <para>
                <paratext>For further information on the shareholder resolutions that may be needed to authorise an allotment of shares, see Practice notes:</paratext>
              </para>
              <list type="bulleted">
                <list.item>
                  <para>
                    <paratext>
                      <link anchor="a179363" href="5-422-4150" style="ACTLinkPLCtoPLC">
                        <ital>Allotment and issue of shares: Requirement for authority to allot</ital>
                      </link>
                      .
                    </paratext>
                  </para>
                </list.item>
                <list.item>
                  <para>
                    <paratext>
                      <link href="2-386-8902" style="ACTLinkPLCtoPLC">
                        <ital>Pre-emption rights: allotment of shares</ital>
                      </link>
                      .
                    </paratext>
                  </para>
                </list.item>
              </list>
            </division>
            <division id="a163143" level="2">
              <head align="left" preservecase="true">
                <headtext>Alternative forms of board minutes</headtext>
              </head>
              <para>
                <paratext>
                  For allotment board minutes that are suitable for use by an unlisted public company (or a private company where the requisite shareholder resolutions will be passed at a general meeting), see 
                  <link href="8-102-4893" style="ACTLinkPLCtoPLC">
                    <ital>Standard document, Issue of shares: board minutes: long form</ital>
                  </link>
                  .
                </paratext>
              </para>
            </division>
            <division id="a374001" level="2">
              <head align="left" preservecase="true">
                <headtext>Obligation to take board minutes</headtext>
              </head>
              <para>
                <paratext>
                  Every company is required to take minutes of all proceedings at meetings of its directors (
                  <link href="9-505-5380" style="ACTLinkPLCtoPLC">
                    <ital>section 248(1)</ital>
                  </link>
                  <ital>, CA 2006</ital>
                  ). Minutes of a directors' meeting must be retained for at least 10 years from the date of the meeting (
                  <link href="9-505-5380" style="ACTLinkPLCtoPLC">
                    <ital>section 248(2)</ital>
                  </link>
                  <ital>, CA 2006</ital>
                  ). For further information on these obligations, see 
                  <link href="8-617-6268#a966194" style="ACTLinkPLCtoPLC">
                    <ital>Practice note, Board meetings: Minutes</ital>
                  </link>
                  .
                </paratext>
              </para>
            </division>
            <division id="a785970" level="2">
              <head align="left" preservecase="true">
                <headtext>Majority required for board resolutions</headtext>
              </head>
              <para>
                <paratext>Resolutions at a board meeting will usually be passed by a majority of those directors present and voting. However, the company's articles should always be checked for any special requirements. For example:</paratext>
              </para>
              <list type="bulleted">
                <list.item>
                  <para>
                    <paratext>
                      The articles may confer a casting vote on the chairperson (see, for example regulation 88 of 
                      <link href="6-107-7359" style="ACTLinkPLCtoPLC">
                        <bold>
                          <ital>Table A</ital>
                        </bold>
                      </link>
                      , article 13 of the 
                      <link href="4-508-1310" style="ACTLinkPLCtoPLC">
                        <ital>model articles for private companies limited by shares</ital>
                      </link>
                       and article 14 of the 
                      <link href="4-513-6534" style="ACTLinkPLCtoPLC">
                        <ital>model articles for public companies</ital>
                      </link>
                      ).
                    </paratext>
                  </para>
                </list.item>
                <list.item>
                  <para>
                    <paratext>
                      In addition to a numerical majority, the articles may require certain specified directors to vote in favour of the resolution in order for it to be passed (see, for example,
                      <link anchor="a349861" href="6-386-2465" style="ACTLinkPLCtoPLC">
                        <ital>Standard document, Articles of association for joint venture company: 50:50 between corporates: 3.3 All decisions made at any meeting of the directors or of any committee of the directors shall...</ital>
                      </link>
                      ).
                    </paratext>
                  </para>
                </list.item>
              </list>
              <para>
                <paratext>
                  For further information, see 
                  <link href="8-617-6268#a322724" style="ACTLinkPLCtoPLC">
                    <ital>Practice note, Board meetings: Voting</ital>
                  </link>
                  .
                </paratext>
              </para>
            </division>
          </division>
        </drafting.note>
        <heading>
          <minute.header>
            <para>
              <paratext>
                <bold>[NAME OF COMPANY]</bold>
              </paratext>
            </para>
            <para>
              <paratext>
                Minutes of a meeting of the board of directors of [NAME OF COMPANY] (
                <defn.term>Company</defn.term>
                ) held at [ADDRESS] on [DATE] at [TIME].
              </paratext>
            </para>
          </minute.header>
          <attendance>
            <table frame="all" pgwide="1">
              <tgroup cols="2">
                <colspec colname="1" colnum="1" colwidth="50"/>
                <colspec colname="2" colnum="2" colwidth="50"/>
                <tbody>
                  <row>
                    <entry valign="top">
                      <para align="left">
                        <paratext>
                          <bold>PRESENT</bold>
                        </paratext>
                      </para>
                    </entry>
                    <entry valign="top">
                      <para align="left">
                        <paratext>
                          <bold>POSITION</bold>
                        </paratext>
                      </para>
                    </entry>
                  </row>
                  <row>
                    <entry valign="top">
                      <para align="left">
                        <paratext>[NAME]</paratext>
                      </para>
                    </entry>
                    <entry valign="top">
                      <para align="left">
                        <paratext>…………………….</paratext>
                      </para>
                    </entry>
                  </row>
                  <row>
                    <entry valign="top">
                      <para align="left">
                        <paratext>[NAME]</paratext>
                      </para>
                    </entry>
                    <entry valign="top">
                      <para align="left">
                        <paratext>…………………….</paratext>
                      </para>
                    </entry>
                  </row>
                  <row>
                    <entry valign="top">
                      <para align="left">
                        <paratext>[NAME]</paratext>
                      </para>
                    </entry>
                    <entry valign="top">
                      <para align="left">
                        <paratext>…………………….</paratext>
                      </para>
                    </entry>
                  </row>
                </tbody>
              </tgroup>
            </table>
            <table frame="all" pgwide="1">
              <tgroup cols="2">
                <colspec colname="1" colnum="1" colwidth="50"/>
                <colspec colname="2" colnum="2" colwidth="50"/>
                <tbody>
                  <row>
                    <entry valign="top">
                      <para align="left">
                        <paratext>
                          <bold>IN ATTENDANCE</bold>
                        </paratext>
                      </para>
                    </entry>
                    <entry valign="top">
                      <para align="left">
                        <paratext>
                          <bold>POSITION</bold>
                        </paratext>
                      </para>
                    </entry>
                  </row>
                  <row>
                    <entry valign="top">
                      <para align="left">
                        <paratext>[NAME]</paratext>
                      </para>
                    </entry>
                    <entry valign="top">
                      <para align="left">
                        <paratext>…………………….</paratext>
                      </para>
                    </entry>
                  </row>
                  <row>
                    <entry valign="top">
                      <para align="left">
                        <paratext>[NAME]</paratext>
                      </para>
                    </entry>
                    <entry valign="top">
                      <para align="left">
                        <paratext>…………………….</paratext>
                      </para>
                    </entry>
                  </row>
                  <row>
                    <entry valign="top">
                      <para align="left">
                        <paratext>[NAME]</paratext>
                      </para>
                    </entry>
                    <entry valign="top">
                      <para align="left">
                        <paratext>…………………….</paratext>
                      </para>
                    </entry>
                  </row>
                </tbody>
              </tgroup>
            </table>
            <table frame="all" pgwide="1">
              <tgroup cols="2">
                <colspec colname="1" colnum="1" colwidth="50"/>
                <colspec colname="2" colnum="2" colwidth="50"/>
                <tbody>
                  <row>
                    <entry valign="top">
                      <para align="left">
                        <paratext>
                          <bold>[APOLOGIES FOR ABSENCE RECEIVED FROM</bold>
                        </paratext>
                      </para>
                    </entry>
                    <entry valign="top">
                      <para align="left">
                        <paratext>
                          <bold>POSITION</bold>
                        </paratext>
                      </para>
                    </entry>
                  </row>
                  <row>
                    <entry valign="top">
                      <para align="left">
                        <paratext>[NAME]</paratext>
                      </para>
                    </entry>
                    <entry valign="top">
                      <para align="left">
                        <paratext>…………………….</paratext>
                      </para>
                    </entry>
                  </row>
                  <row>
                    <entry valign="top">
                      <para align="left">
                        <paratext>[NAME]</paratext>
                      </para>
                    </entry>
                    <entry valign="top">
                      <para align="left">
                        <paratext>…………………….</paratext>
                      </para>
                    </entry>
                  </row>
                  <row>
                    <entry valign="top">
                      <para align="left">
                        <paratext>[NAME]</paratext>
                      </para>
                    </entry>
                    <entry valign="top">
                      <para align="left">
                        <paratext>
                          …………………….
                          <bold>]</bold>
                        </paratext>
                      </para>
                    </entry>
                  </row>
                </tbody>
              </tgroup>
            </table>
          </attendance>
        </heading>
        <operative xrefname="paragraph">
          <clause id="a400226">
            <identifier>1.</identifier>
            <head align="left" preservecase="true">
              <headtext>Chairperson</headtext>
            </head>
            <drafting.note id="a286853" jurisdiction="">
              <head align="left" preservecase="true">
                <headtext>Chairperson</headtext>
              </head>
              <division id="a000004" level="1">
                <para>
                  <paratext>This wording may not be necessary if the chairperson of the company is present at the meeting and is also to chair it. However, it is often included in board minutes for the sake of clarity. In addition, if the chairperson of the company is interested in the business to be conducted at the meeting (for example, because they are a shareholder) it may be appropriate for another member of the board (who is not a shareholder) either to chair the entire meeting or the relevant part of the meeting in which the chairperson is interested. In such circumstances the minutes should make it clear whether that person is to chair the entire meeting or only a portion of it.</paratext>
                </para>
                <para>
                  <paratext>
                    For further information, see 
                    <link href="8-617-6268#a805974" style="ACTLinkPLCtoPLC">
                      <ital>Practice note, Board meetings: Chair</ital>
                    </link>
                    .
                  </paratext>
                </para>
              </division>
            </drafting.note>
            <subclause1 id="a545796">
              <para>
                <paratext>[NAME] was appointed chairperson of the meeting [and chaired the meeting throughout].</paratext>
              </para>
            </subclause1>
          </clause>
          <clause id="a317366">
            <identifier>2.</identifier>
            <head align="left" preservecase="true">
              <headtext>Notice and quorum</headtext>
            </head>
            <drafting.note id="a983730" jurisdiction="">
              <head align="left" preservecase="true">
                <headtext>Notice and quorum</headtext>
              </head>
              <division id="a000005" level="1">
                <para>
                  <paratext>For information on this paragraph, see:</paratext>
                </para>
                <list type="bulleted">
                  <list.item>
                    <para>
                      <paratext>
                        <link href="6-376-3125#a919985" style="ACTLinkPLCtoPLC">
                          <ital>Standard document, Skeleton board minutes (transactional): Drafting note, Notice and quorum</ital>
                        </link>
                        .
                      </paratext>
                    </para>
                  </list.item>
                  <list.item>
                    <para>
                      <paratext>
                        <link href="8-617-6268#a902423" style="ACTLinkPLCtoPLC">
                          <ital>Practice note, Board meetings: Notice of meetings</ital>
                        </link>
                        <ital> and </ital>
                        <link href="8-617-6268#a47600" style="ACTLinkPLCtoPLC">
                          <ital>Quorum</ital>
                        </link>
                        .
                      </paratext>
                    </para>
                  </list.item>
                </list>
              </division>
            </drafting.note>
            <subclause1 id="a462937">
              <para>
                <paratext>The chairperson reported that due notice of the meeting had been given and that a quorum was present. Accordingly, the chairperson declared the meeting open.</paratext>
              </para>
            </subclause1>
          </clause>
          <clause id="a97104">
            <identifier>3.</identifier>
            <head align="left" preservecase="true">
              <headtext>Declaration of interests</headtext>
            </head>
            <drafting.note id="a193312" jurisdiction="">
              <head align="left" preservecase="true">
                <headtext>Directors' interests in proposed transaction or arrangement with the company: section 177, CA 2006</headtext>
              </head>
              <division id="a000006" level="1">
                <para>
                  <paratext>This paragraph deals with the declaration of any interests that the directors have in any transaction or arrangement with the company that forms part of the subject matter of the board meeting.</paratext>
                </para>
                <para>
                  <paratext>
                    If a director is interested in a proposed transaction or arrangement with the company in any way (whether directly or indirectly), they must declare the nature and extent of that interest to the other directors (
                    <link href="7-505-5215" style="ACTLinkPLCtoPLC">
                      <ital>section 177</ital>
                    </link>
                    <ital>, CA 2006</ital>
                    ). The declaration must be made before the company enters into the transaction or arrangement.
                  </paratext>
                </para>
                <para>
                  <paratext>
                    A director is also required to make a further declaration of interest to correct an inaccuracy in an earlier declaration, or to correct an incomplete earlier declaration (if the transaction or arrangement has not yet been entered into; otherwise a declaration under 
                    <link href="5-505-5216" style="ACTLinkPLCtoPLC">
                      <ital>section 182</ital>
                    </link>
                     of the CA 2006 should be made).
                  </paratext>
                </para>
                <para>
                  <paratext>
                    An indirect interest is not defined in the CA 2006, but it would seem prudent for directors to consider the interests of their connected persons (as defined in 
                    <link href="9-505-7930" style="ACTLinkPLCtoPLC">
                      <ital>section 252</ital>
                    </link>
                    <ital>, CA 2006</ital>
                    ).
                  </paratext>
                </para>
                <para>
                  <paratext>
                    For further information on directors' interests, see 
                    <link href="5-202-4474" style="ACTLinkPLCtoPLC">
                      <ital>Practice note, Declaration of directors' interests: Companies Act 2006</ital>
                    </link>
                    .
                  </paratext>
                </para>
                <division id="a238070" level="2">
                  <head align="left" preservecase="true">
                    <headtext>Methods of declaring an interest</headtext>
                  </head>
                  <para>
                    <paratext>Where a director is interested in a proposed transaction or arrangement with the company, the requisite declaration of interest may (but need not) be made in one of the following ways:</paratext>
                  </para>
                  <list type="bulleted">
                    <list.item>
                      <para>
                        <paratext>
                          <bold>At a board meeting.</bold>
                           Where an interest is declared in this way, use the wording in 
                          <internal.reference refid="a402676">paragraph 3.1</internal.reference>
                          .
                        </paratext>
                      </para>
                    </list.item>
                    <list.item>
                      <para>
                        <paratext>
                          <bold>By a notice in writing under section 184, CA 2006.</bold>
                           Where an interest is declared in this way, use the wording in 
                          <internal.reference refid="a846332">paragraph 3.2(a)</internal.reference>
                          .
                        </paratext>
                      </para>
                    </list.item>
                    <list.item>
                      <para>
                        <paratext>
                          <bold>By a general notice under section 185, CA 2006.</bold>
                           Where an interest is declared in this way, include the wording in 
                          <internal.reference refid="a742741">paragraph 3.2(b)</internal.reference>
                          .
                        </paratext>
                      </para>
                    </list.item>
                  </list>
                </division>
              </division>
            </drafting.note>
            <drafting.note id="a627819" jurisdiction="">
              <head align="left" preservecase="true">
                <headtext>Interests in existing transaction or arrangements with the company: section 182, CA 2006</headtext>
              </head>
              <division id="a000007" level="1">
                <para>
                  <paratext>
                    A director must also declare to the other directors the nature and extent of their direct or indirect interest in any existing transaction or arrangement entered into by the company (
                    <link href="5-505-5216" style="ACTLinkPLCtoPLC">
                      <ital>section 182</ital>
                    </link>
                    <ital>, CA 2006</ital>
                    ). Where an earlier declaration becomes inaccurate or incomplete, a further declaration must also be made under section 182. The requirement to declare an interest under section 182 does not apply to the extent that the interest has been declared under 
                    <link href="7-505-5215" style="ACTLinkPLCtoPLC">
                      <ital>section 177</ital>
                    </link>
                     (see 
                    <internal.reference refid="a193312">Drafting note, Directors' interests in proposed transaction or arrangement with the company: section 177, CA 2006</internal.reference>
                    ).
                  </paratext>
                </para>
                <para>
                  <paratext>
                    This document assumes that the board meeting has been convened solely to approve a particular corporate transaction. As such, these board minutes may not be the appropriate place in which to record a director's interest in an existing transaction or arrangement under 
                    <link href="5-505-5216" style="ACTLinkPLCtoPLC">
                      <ital>section 182</ital>
                    </link>
                     of the CA 2006. However, if any of the directors are directly or indirectly interested in an existing (as opposed to the proposed) transaction or arrangement with the company, or wish to correct an inaccuracy in an earlier declaration of interest, or to correct an incomplete earlier declaration, the directors may wish to include the wording set out in 
                    <link href="3-506-9342#a129811" style="ACTLinkPLCtoPLC">
                      <ital>Standard document, Skeleton board minutes (routine): Paragraph 4: Interests in existing transactions and/or arrangements with the Company</ital>
                    </link>
                    .
                  </paratext>
                </para>
                <para>
                  <paratext>
                    For further information on declaring directors' interests under 
                    <link href="5-505-5216" style="ACTLinkPLCtoPLC">
                      <ital>section 182</ital>
                    </link>
                    , see 
                    <link href="5-202-4474#a362874" style="ACTLinkPLCtoPLC">
                      <ital>Practice note, Declaration of directors' interests: Companies Act 2006: Existing transactions or arrangements</ital>
                    </link>
                    .
                  </paratext>
                </para>
              </division>
            </drafting.note>
            <subclause1 condition="optional" id="a402676">
              <identifier>3.1</identifier>
              <para>
                <paratext>
                  [The following directors 
                  <bold>OR</bold>
                   Each director present] declared the nature and extent of their interest in the proposed transaction [and other arrangements] to be considered at the meeting in accordance with the requirements of section 177 of the Companies Act 2006 and the Company’s articles of association, as follows:
                </paratext>
              </para>
              <para>
                <paratext>
                  <table frame="all" pgwide="1">
                    <tgroup cols="2">
                      <colspec colname="1" colnum="1" colwidth="30"/>
                      <colspec colname="2" colnum="2" colwidth="69"/>
                      <tbody>
                        <row>
                          <entry valign="top">
                            <para align="left">
                              <paratext>
                                <bold>Name</bold>
                              </paratext>
                            </para>
                          </entry>
                          <entry valign="top">
                            <para align="left">
                              <paratext>
                                <bold>Nature and extent of interest</bold>
                              </paratext>
                            </para>
                          </entry>
                        </row>
                        <row>
                          <entry valign="top">
                            <para align="left">
                              <paratext>[NAME OF DIRECTOR]</paratext>
                            </para>
                          </entry>
                          <entry valign="top">
                            <para align="left">
                              <paratext>[DESCRIPTION OF INTEREST]</paratext>
                            </para>
                          </entry>
                        </row>
                        <row>
                          <entry valign="top">
                            <para align="left">
                              <paratext>[NAME OF DIRECTOR]</paratext>
                            </para>
                          </entry>
                          <entry valign="top">
                            <para align="left">
                              <paratext>[DESCRIPTION OF INTEREST]</paratext>
                            </para>
                          </entry>
                        </row>
                      </tbody>
                    </tgroup>
                  </table>
                </paratext>
              </para>
              <drafting.note id="a1000751" jurisdiction="">
                <head align="left" preservecase="true">
                  <headtext>Declaration of interests at board meeting</headtext>
                </head>
                <division id="a000008" level="1">
                  <para>
                    <paratext>
                      Include this 
                      <internal.reference refid="a402676">paragraph 3.1</internal.reference>
                       if any directors are interested in any proposed transaction or arrangement with the company under consideration at the meeting and they declare those interests during the board meeting.
                    </paratext>
                  </para>
                  <para>
                    <paratext>
                      It is not essential to include a table in the board minutes setting out each director's interest, but as 
                      <link href="7-505-5215" style="ACTLinkPLCtoPLC">
                        <ital>section 177</ital>
                      </link>
                       requires the directors to declare both the nature and extent of their interests, including such a table may be helpful in showing that the relevant interests have been properly considered and declared.
                    </paratext>
                  </para>
                  <para>
                    <paratext>
                      Note that a director is also required to make a further declaration of interest to correct an inaccuracy in an earlier declaration of interest, or to correct an incomplete earlier declaration (
                      <link href="7-505-5215" style="ACTLinkPLCtoPLC">
                        <ital>section 177(3)</ital>
                      </link>
                      <ital>, CA 2006</ital>
                      ).
                    </paratext>
                  </para>
                  <para>
                    <paratext>
                      For further information, see 
                      <link href="5-202-4474#a520820" style="ACTLinkPLCtoPLC">
                        <ital>Practice note, Declaration of directors' interests: Companies Act 2006: Proposed transactions or arrangements</ital>
                      </link>
                      .
                    </paratext>
                  </para>
                </division>
              </drafting.note>
            </subclause1>
            <para>
              <paratext>
                <bold>AND/OR</bold>
              </paratext>
            </para>
            <subclause1 condition="optional" id="a1029953">
              <identifier>3.2</identifier>
              <para>
                <paratext>
                  There [was 
                  <bold>OR</bold>
                   were] produced to the meeting:
                </paratext>
              </para>
              <drafting.note id="a286163" jurisdiction="">
                <head align="left" preservecase="true">
                  <headtext>Declaration of interests by written notice</headtext>
                </head>
                <division id="a000009" level="1">
                  <para>
                    <paratext>
                      The relevant section of 
                      <internal.reference refid="a1029953">paragraph 3.2</internal.reference>
                       should be included if any director has declared an interest in the proposed transaction by way of a written notice under 
                      <link href="7-505-7691" style="ACTLinkPLCtoPLC">
                        <ital>section 184</ital>
                      </link>
                      , or a general notice under 
                      <link href="8-505-5234" style="ACTLinkPLCtoPLC">
                        <ital>section 185</ital>
                      </link>
                       of the CA 2006.
                    </paratext>
                  </para>
                  <division id="a236376" level="2">
                    <head align="left" preservecase="true">
                      <headtext>Written notice under section 184, CA 2006: paragraph 3.2(a)</headtext>
                    </head>
                    <para>
                      <paratext>
                        Where a written notice of an interest is given under 
                        <link href="7-505-7691" style="ACTLinkPLCtoPLC">
                          <ital>section 184</ital>
                        </link>
                         of the CA 2006, the notice is deemed to form part of the proceedings at the next meeting of the directors after the notice is given (
                        <ital>section 184(5), CA 2006</ital>
                        ). However, it may be good practice to draw the notice to the attention of those directors present at the meeting to ensure that they are all aware of the relevant director's interests.
                      </paratext>
                    </para>
                  </division>
                  <division id="a153516" level="2">
                    <head align="left" preservecase="true">
                      <headtext>General notice under section 185, CA 2006: paragraph 3.2(b)</headtext>
                    </head>
                    <para>
                      <paratext>
                        In the case of a general notice under 
                        <link href="8-505-5234" style="ACTLinkPLCtoPLC">
                          <ital>section 185</ital>
                        </link>
                         of the CA 2006, the general notice will not be effective unless either:
                      </paratext>
                    </para>
                    <list type="bulleted">
                      <list.item>
                        <para>
                          <paratext>It is given at a meeting of the directors.</paratext>
                        </para>
                      </list.item>
                      <list.item>
                        <para>
                          <paratext>The relevant director takes reasonable steps to secure that the notice is brought up and read at the next meeting of the directors after it is given.</paratext>
                        </para>
                        <para>
                          <paratext>
                            (
                            <ital>Section 185(4)</ital>
                            .)
                          </paratext>
                        </para>
                      </list.item>
                    </list>
                  </division>
                </division>
              </drafting.note>
              <subclause2 id="a846332">
                <identifier>(a)</identifier>
                <para>
                  <paratext>
                    [a notice of declaration of interest by [NAME OF DIRECTOR] dated [DATE] sent to the other directors of the Company under section 184 of the Companies Act 2006; 
                    <bold>AND/OR</bold>
                  </paratext>
                </para>
              </subclause2>
              <subclause2 id="a742741">
                <identifier>(b)</identifier>
                <para>
                  <paratext>
                    a general notice of declaration of interest by [NAME OF DIRECTOR] dated [DATE] given under section 185 of the Companies Act 2006 to the effect that they [DESCRIBE INTEREST IN SPECIFIED BODY CORPORATE OR CONNECTION WITH SPECIFIED PERSON UNDER SECTION 185(2) COMPANIES ACT 2006] and is to be regarded as interested in any transaction or arrangement that may be made with that [body corporate 
                    <bold>OR</bold>
                     person] (
                    <bold>Declaration of Interest</bold>
                    ). The Declaration of Interest was read out to the meeting and its contents duly noted.]
                  </paratext>
                </para>
              </subclause2>
            </subclause1>
            <para>
              <paratext>
                <bold>AND/OR</bold>
              </paratext>
            </para>
            <subclause1 condition="optional" id="a735569">
              <identifier>3.3</identifier>
              <para>
                <paratext>
                  Each [of [NAMES OF DIRECTORS] 
                  <bold>OR</bold>
                   director present] confirmed that they had no direct or indirect interest in any way in the proposed transaction [and other arrangements] to be considered at the meeting which they were required by section 177 of the Companies Act 2006 and the Company’s articles of association to disclose].
                </paratext>
              </para>
              <drafting.note id="a951711" jurisdiction="">
                <head align="left" preservecase="true">
                  <headtext>Confirmation of no interest in proposed transaction</headtext>
                </head>
                <division id="a000010" level="1">
                  <para>
                    <paratext>This paragraph should be included by way of confirmation if any of the directors present do not have an interest in any transaction or arrangement with the company under consideration at the board meeting.</paratext>
                  </para>
                </division>
              </drafting.note>
            </subclause1>
            <subclause1 id="a537447">
              <identifier>3.4</identifier>
              <para>
                <paratext>
                  It was noted that pursuant to article [NUMBER] of the Company's articles of association, [a director may vote and form part of the quorum in relation to any proposed transaction or arrangement in which they are interested[, subject to any restrictions imposed under article [NUMBER] of the Company’s articles of association] 
                  <bold>OR</bold>
                   the director[s] so interested would not vote or count as part of a quorum on any of the matters in which they were [respectively] interested but that, nevertheless, there would be a quorum for all items of business to be transacted by the meeting.]
                </paratext>
              </para>
              <drafting.note id="a777504" jurisdiction="">
                <head align="left" preservecase="true">
                  <headtext>Effect of declaration of interests on quorum</headtext>
                </head>
                <division id="a000011" level="1">
                  <para>
                    <paratext>It should be minuted (for the avoidance of doubt) whether a director who is interested in any matter being considered at the meeting is prevented from voting or being counted in the quorum. This will require a review of the articles. For instance:</paratext>
                  </para>
                  <list type="bulleted">
                    <list.item>
                      <para>
                        <paratext>Regulations 94 and 95 of Table A prohibit a director from voting on or being counted in the quorum in relation to a resolution concerning any matter in which they have, directly or indirectly, an interest or duty which is material and which conflicts or may conflict with the interests of the company, except in certain specified cases.</paratext>
                      </para>
                    </list.item>
                    <list.item>
                      <para>
                        <paratext>
                          The model articles provide that if a meeting, or part of a meeting, of the directors is concerned with an actual or proposed transaction or arrangement with the company in which a director is interested, that director is not to be counted as participating in the meeting, or the part of the meeting, for quorum or voting purposes, except in certain limited circumstances (
                          <ital>article 14, </ital>
                          <link href="4-508-1310" style="ACTLinkPLCtoPLC">
                            <ital>model articles for private companies limited by shares</ital>
                          </link>
                          <ital>; article 16, </ital>
                          <link href="4-513-6534" style="ACTLinkPLCtoPLC">
                            <ital>model articles for public companies</ital>
                          </link>
                          ).
                        </paratext>
                      </para>
                    </list.item>
                  </list>
                  <para>
                    <paratext>Therefore, the wording in this paragraph of the minutes may need to be adapted to reflect the wording of the company's articles.</paratext>
                  </para>
                  <para>
                    <paratext>
                      It may be the case, where a company has amended its articles to include provisions for dealing with the management of directors' conflict situations, including the terms on which the board may authorise a conflict, that the board has imposed particular restrictions on a director as part of its authorisation of a director's potential conflict. For example, under 
                      <link href="0-505-5167" style="ACTLinkPLCtoPLC">
                        <ital>section 175</ital>
                      </link>
                       of the CA 2006, the independent directors may decide to authorise a situation whereby a director is also a director of a potential supplier to the company's business, but the terms of their authorisation may include a prohibition on the director in question from voting on decisions relating to proposed contracts between the company and the supplier.
                    </paratext>
                  </para>
                  <para>
                    <paratext>
                      The wording in square brackets in the third line of 
                      <internal.reference refid="a537447">paragraph 3.4</internal.reference>
                       highlights that it may not always be the case that a director can vote and form part of the quorum, even where that is provided under the articles. Consider, in each particular case, whether there are any restrictions that would prevent any of the directors from counting in the quorum or voting on any of the business to be considered at the meeting.
                    </paratext>
                  </para>
                </division>
              </drafting.note>
            </subclause1>
          </clause>
          <clause id="a396181">
            <identifier>4.</identifier>
            <head align="left" preservecase="true">
              <headtext>Business of the meeting</headtext>
            </head>
            <subclause1 id="a304991">
              <para>
                <paratext>The chairperson reported that the business of the meeting was to consider and, if thought fit, approve:</paratext>
              </para>
            </subclause1>
            <subclause1 condition="optional" id="a700200">
              <identifier>4.1</identifier>
              <para>
                <paratext>The circulation of a written resolution to obtain certain shareholder approvals in connection with a proposed allotment of shares in the Company, namely to:</paratext>
              </para>
              <subclause2 id="a576889">
                <identifier>(a)</identifier>
                <para>
                  <paratext>authorise the directors to allot shares up to an aggregate nominal amount of £[AMOUNT]; and</paratext>
                </para>
              </subclause2>
              <subclause2 id="a399352">
                <identifier>(b)</identifier>
                <para>
                  <paratext>disapply the statutory pre-emption right under section 561 of the Companies Act 2006 in relation to the proposed allotment of shares.</paratext>
                </para>
                <drafting.note id="a793051" jurisdiction="">
                  <head align="left" preservecase="true">
                    <headtext>Shareholder resolutions</headtext>
                  </head>
                  <division id="a000012" level="1">
                    <para>
                      <paratext>This paragraph can be omitted if no shareholder authorities are required in relation to the proposed allotment of shares, or the requisite authorities are already in place (for example, under the terms of a previous resolution or under a provision in the company's articles of association).</paratext>
                    </para>
                    <para>
                      <paratext>
                        Under 
                        <link href="7-505-5121" style="ACTLinkPLCtoPLC">
                          <ital>section 550</ital>
                        </link>
                         of the CA 2006, the directors of a private company with only one class of shares have the power to allot shares (or grant rights to subscribe for or to convert any security into shares) without any further authority, except to the extent that they are prohibited from doing so by the company's articles of association. For more information see, 
                        <link anchor="a856478" href="5-422-4150" style="ACTLinkPLCtoPLC">
                          <ital>Practice note, Allotment and issue of shares: Authority to allot under section 550</ital>
                        </link>
                        .
                      </paratext>
                    </para>
                    <para>
                      <paratext>For further information on the shareholder resolutions that may be required in connection with an allotment of shares, see Practice notes:</paratext>
                    </para>
                    <list type="bulleted">
                      <list.item>
                        <para>
                          <paratext>
                            <link anchor="a179363" href="5-422-4150" style="ACTLinkPLCtoPLC">
                              <ital>Allotment and issue of shares: Requirement for authority to allot</ital>
                            </link>
                            .
                          </paratext>
                        </para>
                      </list.item>
                      <list.item>
                        <para>
                          <paratext>
                            <link href="2-386-8902" style="ACTLinkPLCtoPLC">
                              <ital>Pre-emption rights: allotment of shares</ital>
                            </link>
                            .
                          </paratext>
                        </para>
                      </list.item>
                    </list>
                    <para>
                      <paratext>If shareholder resolutions are required, this paragraph should be tailored to reflect the terms of the relevant resolutions.</paratext>
                    </para>
                    <division id="a1020167" level="2">
                      <head align="left" preservecase="true">
                        <headtext>Pre-emption rights on allotment</headtext>
                      </head>
                      <para>
                        <paratext>
                          This paragraph is drafted on the assumption that statutory pre-emption right applies to the proposed allotment (see 
                          <link anchor="a951899" href="2-386-8902" style="ACTLinkPLCtoPLC">
                            <ital>Practice note, Pre-emption rights: allotment of shares: Statutory pre-emption right: when does it apply?</ital>
                          </link>
                          ). However, the company may have excluded or disapplied this right by a provision in its articles or under the terms of an existing resolution (for further information, see 
                          <link href="2-386-8902#a86703" style="ACTLinkPLCtoPLC">
                            <ital>Practice note, Pre-emption rights: allotment of shares: Excluding or disapplying the statutory pre-emption right</ital>
                          </link>
                          <ital>)</ital>
                          .
                        </paratext>
                      </para>
                      <para>
                        <paratext>
                          It is also possible that the company may have excluded the statutory pre-emption right and instead adopted a contractual, articles-based pre-emption right in its place. Where a contractual pre-emption right applies, the procedure for waiving or disapplying that right will depend on the particular drafting of the article creating the right. For further information, see 
                          <link href="2-386-8902#a817640" style="ACTLinkPLCtoPLC">
                            <ital>Practice note, Pre-emption rights: allotment of shares: Contractual pre-emption rights in articles of association</ital>
                          </link>
                          .
                        </paratext>
                      </para>
                    </division>
                  </division>
                </drafting.note>
              </subclause2>
            </subclause1>
            <subclause1 id="a795178">
              <identifier>4.2</identifier>
              <para>
                <paratext>
                  The proposed allotment and issue of shares to the persons referred to in 
                  <internal.reference refid="a242789">paragraph 5.1(a)</internal.reference>
                   (
                  <bold>Proposed Allotment</bold>
                  ).
                </paratext>
              </para>
            </subclause1>
          </clause>
          <clause id="a915727">
            <identifier>5.</identifier>
            <head align="left" preservecase="true">
              <headtext>Documents produced to the meeting</headtext>
            </head>
            <subclause1 id="a712319">
              <identifier>5.1</identifier>
              <para>
                <paratext>The following documents were produced to the meeting:</paratext>
              </para>
              <subclause2 id="a242789">
                <identifier>(a)</identifier>
                <para>
                  <paratext>applications by the persons listed below for the allotment and issue to them of the number [and class] of shares in the capital of the Company set out against their respective names:</paratext>
                </para>
                <para>
                  <paratext>
                    <table frame="all" pgwide="1">
                      <tgroup cols="3">
                        <colspec colname="1" colnum="1" colwidth="33"/>
                        <colspec colname="2" colnum="2" colwidth="33"/>
                        <colspec colname="3" colnum="3" colwidth="33"/>
                        <tbody>
                          <row>
                            <entry valign="top">
                              <para align="left">
                                <paratext>
                                  <bold>Name of applicant</bold>
                                </paratext>
                              </para>
                            </entry>
                            <entry valign="top">
                              <para align="left">
                                <paratext>
                                  <bold>Number of [ordinary] shares of £[AMOUNT] each</bold>
                                </paratext>
                              </para>
                            </entry>
                            <entry valign="top">
                              <para align="left">
                                <paratext>
                                  <bold>Aggregate subscription monies (£)</bold>
                                </paratext>
                              </para>
                            </entry>
                          </row>
                          <row>
                            <entry valign="top">
                              <para align="left">
                                <paratext>[NAME]</paratext>
                              </para>
                            </entry>
                            <entry valign="top">
                              <para align="left">
                                <paratext>[NUMBER]</paratext>
                              </para>
                            </entry>
                            <entry valign="top">
                              <para align="left">
                                <paratext>[AMOUNT]</paratext>
                              </para>
                            </entry>
                          </row>
                          <row>
                            <entry valign="top">
                              <para align="left">
                                <paratext>[NAME]</paratext>
                              </para>
                            </entry>
                            <entry valign="top">
                              <para align="left">
                                <paratext>[NUMBER]</paratext>
                              </para>
                            </entry>
                            <entry valign="top">
                              <para align="left">
                                <paratext>[AMOUNT]</paratext>
                              </para>
                            </entry>
                          </row>
                          <row>
                            <entry valign="top">
                              <para align="left">
                                <paratext>[NAME]</paratext>
                              </para>
                            </entry>
                            <entry valign="top">
                              <para align="left">
                                <paratext>[NUMBER]</paratext>
                              </para>
                            </entry>
                            <entry valign="top">
                              <para align="left">
                                <paratext>[AMOUNT]</paratext>
                              </para>
                            </entry>
                          </row>
                        </tbody>
                      </tgroup>
                    </table>
                  </paratext>
                </para>
              </subclause2>
              <subclause2 id="a637998">
                <identifier>(b)</identifier>
                <para>
                  <paratext>
                    a form of written resolution of the members of the Company (
                    <defn.term>Written Resolution</defn.term>
                    ) to [grant the directors a general and unconditional authority under section 551 of the Companies Act 2006 to allot shares in the Company [or grant rights to subscribe for or to convert any security into shares in the Company] up to an aggregate nominal amount of £[AMOUNT] [and to empower the directors to allot such shares [or grant such rights] pursuant to that authority as if section 561(1) of the Companies Act 2006 did not apply to relevant allotment [or grant of rights] 
                    <bold>OR</bold>
                     [STATE PURPOSE OF RESOLUTION]].
                  </paratext>
                </para>
                <drafting.note id="a933253" jurisdiction="">
                  <head align="left" preservecase="true">
                    <headtext>Tabling of written resolution</headtext>
                  </head>
                  <division id="a000013" level="1">
                    <para>
                      <paratext>Include this paragraph if any shareholder resolutions are required for the Proposed Allotment and they will be passed using the written resolution procedure set out in Chapter 2 of Part 13 of the CA 2006. The text of the requisite resolutions should be detailed in the minutes.</paratext>
                    </para>
                    <para>
                      <paratext>For standard form shareholder resolutions relating to the allotment of shares, see Standard clauses:</paratext>
                    </para>
                    <list type="bulleted">
                      <list.item>
                        <para>
                          <paratext>
                            <link href="7-386-1371" style="ACTLinkPLCtoPLC">
                              <ital>Resolution (member): authority to allot and disapplication of pre-emption rights: private and unlisted public companies</ital>
                            </link>
                            .
                          </paratext>
                        </para>
                      </list.item>
                      <list.item>
                        <para>
                          <paratext>
                            <link href="2-386-1806" style="ACTLinkPLCtoPLC">
                              <ital>Resolution (member): disapplication of pre-emption rights (section 569): private companies</ital>
                            </link>
                            .
                          </paratext>
                        </para>
                      </list.item>
                    </list>
                  </division>
                </drafting.note>
              </subclause2>
            </subclause1>
            <subclause1 id="a520224">
              <identifier>5.2</identifier>
              <para>
                <paratext>
                  IT WAS REPORTED that the Company had received payment in full of the subscription monies payable by each applicant in respect of the shares set out against their respective names in 
                  <internal.reference refid="a242789">paragraph 5.1(a)</internal.reference>
                   above.
                </paratext>
              </para>
            </subclause1>
          </clause>
          <clause condition="optional" id="a832157">
            <identifier>6.</identifier>
            <head align="left" preservecase="true">
              <headtext>Approval and circulation of written resolution</headtext>
            </head>
            <subclause1 id="a717157">
              <identifier>6.1</identifier>
              <para>
                <paratext>After careful consideration of the Written Resolution[, including consideration of the matters referred to in section 172(1) of the Companies Act 2006], IT WAS RESOLVED:</paratext>
              </para>
              <drafting.note id="a96174" jurisdiction="">
                <head align="left" preservecase="true">
                  <headtext>Approval and circulation of written resolution</headtext>
                </head>
                <division id="a000014" level="1">
                  <para>
                    <paratext>Include this paragraph if any shareholder resolutions are required for the Proposed Allotment and those resolutions will be passed using the written resolution procedure.</paratext>
                  </para>
                  <division id="a215453" level="2">
                    <head align="left" preservecase="true">
                      <headtext>Procedure for circulating a written resolution</headtext>
                    </head>
                    <para>
                      <paratext>
                        A resolution can be proposed as a written resolution either by the directors or the members of a private company (
                        <link href="7-505-9100" style="ACTLinkPLCtoPLC">
                          <ital>section 288(3)</ital>
                        </link>
                        <ital>, CA 2006</ital>
                        ). This document assumes that the written resolution will be proposed and circulated by the directors in accordance with 
                        <link href="2-506-3642" style="ACTLinkPLCtoPLC">
                          <ital>section 291</ital>
                        </link>
                        .
                      </paratext>
                    </para>
                    <para>
                      <paratext>
                        A copy of the written resolution must be sent to each eligible member (
                        <link href="2-506-3642" style="ACTLinkPLCtoPLC">
                          <ital>section 291(2)</ital>
                        </link>
                        <ital>, CA 2006</ital>
                        ) and the company's auditors (
                        <link href="4-506-3641" style="ACTLinkPLCtoPLC">
                          <ital>section 502</ital>
                        </link>
                        <ital>, CA 2006</ital>
                        ).
                      </paratext>
                    </para>
                    <para>
                      <paratext>
                        For further information on preparing and circulating a written resolution, see 
                        <link href="9-203-0859" style="ACTLinkPLCtoPLC">
                          <ital>Practice note, Written resolutions</ital>
                        </link>
                        :
                      </paratext>
                    </para>
                    <list type="bulleted">
                      <list.item>
                        <para>
                          <paratext>
                            <link href="9-203-0859#a289826" style="ACTLinkPLCtoPLC">
                              <ital>Written resolutions proposed by directors</ital>
                            </link>
                            .
                          </paratext>
                        </para>
                      </list.item>
                      <list.item>
                        <para>
                          <paratext>
                            <link href="9-203-0859#a589406" style="ACTLinkPLCtoPLC">
                              <ital>Eligible members</ital>
                            </link>
                            .
                          </paratext>
                        </para>
                      </list.item>
                      <list.item>
                        <para>
                          <paratext>
                            <link anchor="a862517" href="9-203-0859" style="ACTLinkPLCtoPLC">
                              <ital>Circulation of written resolutions: logistics</ital>
                            </link>
                            .
                          </paratext>
                        </para>
                      </list.item>
                      <list.item>
                        <para>
                          <paratext>
                            <link href="9-203-0859#a193639" style="ACTLinkPLCtoPLC">
                              <ital>Sending copies to auditors</ital>
                            </link>
                            .
                          </paratext>
                        </para>
                      </list.item>
                    </list>
                  </division>
                  <division id="a1034753" level="2">
                    <head align="left" preservecase="true">
                      <headtext>Duty to promote the success of the company: section 172, CA 2006</headtext>
                    </head>
                    <para>
                      <paratext>
                        Consider whether it is appropriate to include the wording in brackets in 
                        <internal.reference refid="a717157">paragraph 6.1</internal.reference>
                         referring to the matters set out in 
                        <link href="5-505-5377" style="ACTLinkPLCtoPLC">
                          <ital>section 172(1)</ital>
                        </link>
                         of the CA 2006. This will depend on the characteristics of the particular transaction, including its significance and size for the company, as well as the company’s general practice in relation to board minutes (for example, whether the company usually refers in its minutes only to factors considered relevant to the business at hand, or whether the company chooses instead to circulate a separate paper to its directors reminding them of the matters they should consider under section 172).
                      </paratext>
                    </para>
                    <para>
                      <paratext>
                        In addition, the boards of certain large companies may wish to record in board minutes their consideration of the matters which must be reported under the 
                        <link href="w-016-2380" style="ACTLinkPLCtoPLC">
                          <ital>Companies (Miscellaneous Reporting) Regulations 2018 (SI 2018/860)</ital>
                        </link>
                        , particularly in relation to the principal decisions of the company. For more information on the requirements of the Companies (Miscellaneous Reporting) Regulations 2018, see 
                        <link href="w-014-9497" style="ACTLinkPLCtoPLC">
                          <ital>Checklist, Additional corporate governance reporting requirements for financial years beginning on or after 1 January 2019</ital>
                        </link>
                        . Such companies may decide to document such matters in board minutes, in order to keep a contemporaneous record of the directors' considerations. If so, the introductory wording to the resolutions may be adapted to expressly refer to the board having considered those matters and, where applicable, the effect of that regard.
                      </paratext>
                    </para>
                    <para>
                      <paratext>For further information on this issue, see:</paratext>
                    </para>
                    <list type="bulleted">
                      <list.item>
                        <para>
                          <paratext>
                            <link href="6-376-3125#a539186" style="ACTLinkPLCtoPLC">
                              <ital>Standard clause, Skeleton board minutes (transactional): Drafting note, Resolutions</ital>
                            </link>
                            .
                          </paratext>
                        </para>
                      </list.item>
                      <list.item>
                        <para>
                          <paratext>
                            <link anchor="a212507" href="7-376-4884" style="ACTLinkPLCtoPLC">
                              <ital>Practice note, Directors' duties: directors' general duties under the Companies Act 2006: Duty to promote the success of the company (section 172)</ital>
                            </link>
                            .
                          </paratext>
                        </para>
                      </list.item>
                    </list>
                  </division>
                </division>
              </drafting.note>
              <subclause2 id="a634298">
                <identifier>(a)</identifier>
                <para>
                  <paratext>that the Written Resolution would promote the success of the Company for the benefit of its members as a whole;</paratext>
                </para>
              </subclause2>
              <subclause2 id="a414035">
                <identifier>(b)</identifier>
                <para>
                  <paratext>to approve the Written Resolution in the form produced to the meeting; and</paratext>
                </para>
              </subclause2>
              <subclause2 id="a809244">
                <identifier>(c)</identifier>
                <para>
                  <paratext>to send the Written Resolution to every eligible member of the Company [and to the Company's auditors].</paratext>
                </para>
              </subclause2>
            </subclause1>
            <subclause1 id="a623616">
              <identifier>6.2</identifier>
              <para>
                <paratext>The meeting was adjourned so that the Written Resolution could be submitted to the members of the Company [and the Company's auditors]. The meeting reconvened at [TIME] whereupon the chairperson reported that the Written Resolution had been passed.</paratext>
              </para>
              <drafting.note id="a365798" jurisdiction="">
                <head align="left" preservecase="true">
                  <headtext>Adjournment of board meeting</headtext>
                </head>
                <division id="a000015" level="1">
                  <para>
                    <paratext>This paragraph provides for the board meeting to be adjourned while the written resolution is circulated. The drafting assumes that the written resolution will be circulated, signed by the members and returned to the company on the same day. The minutes should be amended, as appropriate, to reflect the approach taken in a particular transaction.</paratext>
                  </para>
                  <para>
                    <paratext>
                      For further information on when a resolution is passed, see 
                      <link href="9-203-0859#a69563" style="ACTLinkPLCtoPLC">
                        <ital>Practice note, Written resolutions: Resolutions passed when requisite majority attained</ital>
                      </link>
                      .
                    </paratext>
                  </para>
                </division>
              </drafting.note>
            </subclause1>
          </clause>
          <clause id="a528215">
            <identifier>7.</identifier>
            <head align="left" preservecase="true">
              <headtext>Allotment and issue of shares</headtext>
            </head>
            <subclause1 condition="optional" id="a1049205">
              <identifier>7.1</identifier>
              <para>
                <paratext>IT WAS NOTED that the directors were:</paratext>
              </para>
              <drafting.note id="a797373" jurisdiction="">
                <head align="left" preservecase="true">
                  <headtext>Noting authority to allot and disapply pre-emption rights</headtext>
                </head>
                <division id="a000016" level="1">
                  <para>
                    <paratext>If the directors are already authorised to make the Proposed Allotment and to disapply the statutory pre-emption rights (whether by provision in the company's articles or a previous resolution), this paragraph could be included to note the source of the requisite authority and power. For further information, see Practice notes:</paratext>
                  </para>
                  <list type="bulleted">
                    <list.item>
                      <para>
                        <paratext>
                          <link anchor="a179363" href="5-422-4150" style="ACTLinkPLCtoPLC">
                            <ital>Allotment and issue of shares: Requirement for authority to allot</ital>
                          </link>
                          .
                        </paratext>
                      </para>
                    </list.item>
                    <list.item>
                      <para>
                        <paratext>
                          <link href="2-386-8902" style="ACTLinkPLCtoPLC">
                            <ital>Pre-emption rights: allotment of shares</ital>
                          </link>
                          .
                        </paratext>
                      </para>
                    </list.item>
                  </list>
                </division>
              </drafting.note>
              <subclause2 id="a1038179">
                <identifier>(a)</identifier>
                <para>
                  <paratext>
                    duly authorised by [section 550 of the Companies Act 2006 
                    <bold>OR</bold>
                     the Company's articles of association 
                    <bold>OR</bold>
                     an ordinary resolution passed under section 551 of the Companies Act 2006] to exercise any power of the Company to allot shares in the Company [or grant rights to subscribe for or convert any security into shares in the Company] [up to an aggregate nominal amount of £[NUMBER]]; and
                  </paratext>
                </para>
              </subclause2>
              <subclause2 id="a424161">
                <identifier>(b)</identifier>
                <para>
                  <paratext>
                    empowered by [the Company's articles of association 
                    <bold>OR</bold>
                     a special resolution passed under section [569 
                    <bold>OR</bold>
                     570] of the Companies Act 2006] to allot equity securities as if the pre-emption rights under section 561 of the Companies Act 2006 did not apply.
                  </paratext>
                </para>
              </subclause2>
            </subclause1>
            <subclause1 id="a83826">
              <identifier>7.2</identifier>
              <para>
                <paratext>After careful consideration[, including consideration of the matters referred to in section 172(1) of the Companies Act 2006], IT WAS RESOLVED:</paratext>
              </para>
              <drafting.note id="a562728" jurisdiction="">
                <head align="left" preservecase="true">
                  <headtext>Allotment: duty to promote the success of the Company</headtext>
                </head>
                <division id="a000017" level="1">
                  <para>
                    <paratext>
                      Consider whether it is appropriate to include the wording in brackets in 
                      <internal.reference refid="a83826">paragraph 7.2</internal.reference>
                       referring to the matters set out in 
                      <link href="5-505-5377" style="ACTLinkPLCtoPLC">
                        <ital>section 172(1)</ital>
                      </link>
                       of the CA 2006. For further information on this issue, see 
                      <internal.reference refid="a1034753">Drafting note, Duty to promote the success of the company: section 172, CA 2006</internal.reference>
                      .
                    </paratext>
                  </para>
                </division>
              </drafting.note>
              <subclause2 id="a213456">
                <identifier>(a)</identifier>
                <para>
                  <paratext>that the Proposed Allotment would promote the success of the Company for the benefit of its members as a whole;</paratext>
                </para>
              </subclause2>
              <subclause2 id="a90145">
                <identifier>(b)</identifier>
                <para>
                  <paratext>
                    to accept the applications for the allotment of shares referred to in 
                    <internal.reference refid="a242789">paragraph 5.1(a)</internal.reference>
                     and to allot and issue to the applicants, in accordance with the terms of their applications, the shares applied for by each of them respectively, credited as fully paid;
                  </paratext>
                </para>
                <drafting.note id="a300993" jurisdiction="">
                  <head align="left" preservecase="true">
                    <headtext>Shares fully paid</headtext>
                  </head>
                  <division id="a000018" level="1">
                    <para>
                      <paratext>
                        This resolution assumes that payment of the subscription price is made at the same time as the subscriber's application for the shares (see 
                        <internal.reference refid="a520224">paragraph 5.2</internal.reference>
                        ). This paragraph therefore provides for the shares to be credited as fully paid. If the shares will be issued as nil paid or partly paid, this paragraph will need to be amended accordingly.
                      </paratext>
                    </para>
                    <para>
                      <paratext>
                        For further information on paying the subscription price on an allotment of shares, see 
                        <link href="5-422-4150#a223783" style="ACTLinkPLCtoPLC">
                          <ital>Practice note, Allotment and issue of shares: Payment for allotted shares</ital>
                        </link>
                        .
                      </paratext>
                    </para>
                  </division>
                </drafting.note>
              </subclause2>
              <subclause2 id="a912607">
                <identifier>(c)</identifier>
                <para>
                  <paratext>
                    to instruct the [Company Secretary 
                    <bold>OR</bold>
                     [NAME]] to:
                  </paratext>
                </para>
                <drafting.note id="a956259" jurisdiction="">
                  <head align="left" preservecase="true">
                    <headtext>Company secretary</headtext>
                  </head>
                  <division id="a000019" level="1">
                    <para>
                      <paratext>
                        Private companies are no longer required to have a company secretary, although they may choose to do so (
                        <link href="6-505-5126" style="ACTLinkPLCtoPLC">
                          <ital>section 270(1)</ital>
                        </link>
                        <ital>, CA 2006</ital>
                        ). If the company does not have a company secretary, insert the name of the person who has been given responsibility for performing the administrative functions that would otherwise be carried out by the company secretary (such as a director, a specified employee or an agent or adviser of the company).
                      </paratext>
                    </para>
                    <para>
                      <paratext>
                        For general information on the role of the company secretary, see 
                        <link href="6-384-9539" style="ACTLinkPLCtoPLC">
                          <ital>Practice note, Company secretary: appointment, role and responsibilities</ital>
                        </link>
                        .
                      </paratext>
                    </para>
                  </division>
                </drafting.note>
                <subclause3 id="a822050">
                  <identifier>(i)</identifier>
                  <para>
                    <paratext>
                      prepare share certificates in respect of the allotted and issued shares and to arrange for [the common seal of the Company to be affixed to the share certificates 
                      <bold>OR</bold>
                       the share certificates to be executed by the Company in accordance with section 44 of the Companies Act 2006] and delivered to the applicants; and
                    </paratext>
                  </para>
                  <drafting.note id="a207453" jurisdiction="">
                    <head align="left" preservecase="true">
                      <headtext>Share certificates</headtext>
                    </head>
                    <division id="a000020" level="1">
                      <para>
                        <paratext>For information on a company's obligation to issue a share certificate following an allotment of shares, see Practice notes:</paratext>
                      </para>
                      <list type="bulleted">
                        <list.item>
                          <para>
                            <paratext>
                              <link href="9-523-3844" style="ACTLinkPLCtoPLC">
                                <ital>Share certificates</ital>
                              </link>
                              .
                            </paratext>
                          </para>
                        </list.item>
                        <list.item>
                          <para>
                            <paratext>
                              <link href="5-422-4150#a721760" style="ACTLinkPLCtoPLC">
                                <ital>Allotment and issue of shares: Share certificates</ital>
                              </link>
                              .
                            </paratext>
                          </para>
                        </list.item>
                      </list>
                      <para>
                        <paratext>
                          For a template share certificate, see 
                          <link href="0-523-2349" style="ACTLinkPLCtoPLC">
                            <ital>Standard document, Share certificate</ital>
                          </link>
                          .
                        </paratext>
                      </para>
                    </division>
                  </drafting.note>
                </subclause3>
                <subclause3 id="a1020950">
                  <identifier>(ii)</identifier>
                  <para>
                    <paratext>enter each applicant's name on the register of members of the Company as the holder of the shares allotted and issued to that applicant, and make all other necessary and appropriate entries in the books and registers of the Company[; and]</paratext>
                  </para>
                  <drafting.note id="a490975" jurisdiction="">
                    <head align="left" preservecase="true">
                      <headtext>Registering the allotment</headtext>
                    </head>
                    <division id="a000021" level="1">
                      <division id="a546075" level="2">
                        <head align="left" preservecase="true">
                          <headtext>Registration where company has not made a section 128B election</headtext>
                        </head>
                        <para>
                          <paratext>
                            This resolution is drafted on the assumption that the company has not made an election under 
                            <link href="3-621-8826" style="ACTLinkPLCtoPLC">
                              <ital>section 128B</ital>
                            </link>
                             of the CA 2006 to keep the information that must be entered in its register of members on a central register maintained by Companies House, and it therefore maintains its own register of members.
                          </paratext>
                        </para>
                        <para>
                          <paratext>
                            Registering the allotment in the company's register of members is a crucial step as the shares will not be issued, and the allottee will not become a member of the company in respect of the shares, until this step has been completed (for further information, see 
                            <link href="9-613-9765#a505178" style="ACTLinkPLCtoPLC">
                              <ital>Practice note, Membership of a company: Who is a member of a company?</ital>
                            </link>
                            ). Where a company maintains its own register of members, steps should therefore be taken to complete the registration of an allotment of shares as soon as practicable and, in any event, within two months after the date of the allotment (
                            <link href="0-505-8825" style="ACTLinkPLCtoPLC">
                              <ital>section 554(1)</ital>
                            </link>
                            <ital>, CA 2006</ital>
                            ) (see 
                            <internal.reference refid="a192719">Drafting note, Registration where company has made a section 128B election: private companies</internal.reference>
                            , where a private company has elected to keep information on the central register maintained by Companies House).
                          </paratext>
                        </para>
                        <para>
                          <paratext>For information on updating a company's register of members and register of allotments following an allotment of shares, see Practice notes:</paratext>
                        </para>
                        <list type="bulleted">
                          <list.item>
                            <para>
                              <paratext>
                                <link href="7-422-4823#a749867" style="ACTLinkPLCtoPLC">
                                  <ital>Register of members: Updating the register</ital>
                                </link>
                                .
                              </paratext>
                            </para>
                          </list.item>
                          <list.item>
                            <para>
                              <paratext>
                                <link href="5-422-4150#a522860" style="ACTLinkPLCtoPLC">
                                  <ital>Allotment and issue of shares: Registration of allotment</ital>
                                </link>
                                .
                              </paratext>
                            </para>
                          </list.item>
                        </list>
                      </division>
                      <division id="a192719" level="2">
                        <head align="left" preservecase="true">
                          <headtext>Registration where company has made a section 128B election: private companies</headtext>
                        </head>
                        <para>
                          <paratext>
                            If the company has made a 
                            <link href="3-621-8826" style="ACTLinkPLCtoPLC">
                              <ital>section 128B</ital>
                            </link>
                             election and no longer keeps its own register of members, its duty to register the allotment becomes an obligation to deliver particulars of the allotment to the Registrar of Companies as soon as reasonably practicable and in any event, within the two month period during which the company would have been required to enter the information in its register of members had the election not been in place (
                            <link href="0-505-8825" style="ACTLinkPLCtoPLC">
                              <ital>section 554(2A)</ital>
                            </link>
                            <ital> and </ital>
                            <link href="9-621-8833" style="ACTLinkPLCtoPLC">
                              <ital>sections 128E(2) and (4)</ital>
                            </link>
                            <ital>, CA 2006</ital>
                            ). Therefore, this paragraph will require amendment where such an election has been made.
                          </paratext>
                        </para>
                        <para>
                          <paratext>
                            For further information on electing to keep member information on the central register see, 
                            <link anchor="a117001" href="7-422-4823" style="ACTLinkPLCtoPLC">
                              <ital>Practice note, Register of members: Option to use a central register of members: private companies</ital>
                            </link>
                            .
                          </paratext>
                        </para>
                      </division>
                      <division id="a689336" level="2">
                        <head align="left" preservecase="true">
                          <headtext>PSC register</headtext>
                        </head>
                        <para>
                          <paratext>
                            <link href="w-023-8001" style="ACTLinkPLCtoPLC">
                              <ital>Part 21A</ital>
                            </link>
                             of the CA 2006 requires all companies within scope to produce, keep and maintain a separate register of individuals (PSCs) and certain legal entities (RLEs) with significant control over the company (
                            <link href="2-621-7870" style="ACTLinkPLCtoPLC">
                              <ital>section 790M</ital>
                            </link>
                            <ital>, CA 2006</ital>
                            ). All UK-registered private companies limited by shares and most unlisted public companies, and companies with shares admitted to trading on AIM or the AQSE Growth Market (previously the NEX Exchange Growth Market) are within the scope of this obligation. For more detailed information on the PSC regime, see Practice notes:
                          </paratext>
                        </para>
                        <list type="bulleted">
                          <list.item>
                            <para>
                              <paratext>
                                <link href="7-625-2125" style="ACTLinkPLCtoPLC">
                                  <ital>PSC register: completing the register</ital>
                                </link>
                                .
                              </paratext>
                            </para>
                          </list.item>
                          <list.item>
                            <para>
                              <paratext>
                                <link href="9-624-0527" style="ACTLinkPLCtoPLC">
                                  <ital>PSC register: identifying people with significant control</ital>
                                </link>
                                .
                              </paratext>
                            </para>
                          </list.item>
                        </list>
                        <para>
                          <paratext>
                            Companies that are required to hold a PSC register must monitor at all times whether there is reasonable cause to believe that some other person, not already registered, has become a registrable PSC or RLE in relation to the company (
                            <link href="6-621-8014" style="ACTLinkPLCtoPLC">
                              <ital>section 790D</ital>
                            </link>
                            <ital>, CA 2006</ital>
                            ).
                          </paratext>
                        </para>
                        <para>
                          <paratext>
                            Such companies also have a continuing obligation to keep the register up to date, and to record any relevant changes to the particulars stated in the register within the specified timeframes (
                            <ital>sections 790M(6) – (6A), CA 2006</ital>
                            ). A relevant change occurs in relation to a registrable PSC or RLE if:
                          </paratext>
                        </para>
                        <list type="bulleted">
                          <list.item>
                            <para>
                              <paratext>The PSC or RLE ceases to be a registrable person or entity in relation to the company.</paratext>
                            </para>
                          </list.item>
                          <list.item>
                            <para>
                              <paratext>Any other change occurs as a result of which the particulars stated in the PSC register for the relevant PSC or RLE are incorrect or incomplete.</paratext>
                            </para>
                          </list.item>
                        </list>
                        <para>
                          <paratext>
                            (
                            <link href="3-621-8015" style="ACTLinkPLCtoPLC">
                              <ital>Sections 790E(3) - (4)</ital>
                            </link>
                            <ital>, CA 2006</ital>
                            .)
                          </paratext>
                        </para>
                        <para>
                          <paratext>
                            For registrable PSCs, the company must update the register within 14 days after the day on which all the required particulars are confirmed (
                            <ital>section 790M(2), CA 2006</ital>
                            ) or (as the case may be) all the relevant changes and the date on which they occurred are confirmed (
                            <ital>sections 790M(6) and (9), CA 2006</ital>
                            ).
                          </paratext>
                        </para>
                        <para>
                          <paratext>
                            For registrable RLEs, the company has 14 days after the day it first has all the required particulars of the RLE (
                            <ital>section 790M(5), CA 2006</ital>
                            ) or (as the case may be) has details of all the relevant changes and the date on which they occurred (
                            <ital>section 790M(6A), CA 2006</ital>
                            ).
                          </paratext>
                        </para>
                        <para>
                          <paratext>
                            Therefore, where an allotment gives rise to a relevant change or the allottee (or some other person) has become a registrable PSC or RLE as a result of the allotment, if the company maintains its own PSC register it must update the register to include details of the change or, in the case of a new registrable PSC or RLE, details of the required particulars of the relevant person or entity. For further information, see 
                            <link anchor="a255827" href="5-422-4150" style="ACTLinkPLCtoPLC">
                              <ital>Practice note, Allotment and issue of shares: Updating the company's PSC register</ital>
                            </link>
                            .
                          </paratext>
                        </para>
                        <para>
                          <paratext>
                            Private companies have the option of electing to keep the information that must be entered in its PSC register on a central register maintained by Companies House instead of maintaining its own PSC register (
                            <link href="9-621-8437" style="ACTLinkPLCtoPLC">
                              <ital>section 790X</ital>
                            </link>
                            <ital>, CA 2006</ital>
                            ).
                          </paratext>
                        </para>
                        <para>
                          <paratext>
                            If such an election is made (and while it continues in force), the company must deliver information to the Registrar of Companies that would otherwise need to be entered in the company’s PSC register (
                            <link href="6-621-8448" style="ACTLinkPLCtoPLC">
                              <ital>section 790ZA(2)</ital>
                            </link>
                            <ital>, CA 2006</ital>
                            ). Such information must be provided as soon as reasonably practicable and, in any event, during the 14 day period within which companies that have not made such an election must enter PSC information in their own register (
                            <ital>section 790ZA(3), CA 2006</ital>
                            ).
                          </paratext>
                        </para>
                      </division>
                    </division>
                  </drafting.note>
                </subclause3>
              </subclause2>
              <subclause2 condition="optional" id="a437523">
                <identifier>(d)</identifier>
                <para>
                  <paratext>to authorise any [one or more of the] director[s] of the Company to do all such acts and things and agree and execute on behalf of the Company all such documents to which the Company is a party and all other documents as may be required [in connection with the Proposed Allotment] and generally to sign all such certificates, notices and other documents as may be necessary [or desirable] [in connection with the Proposed Allotment], subject in each case to such amendments as those executing the same on behalf of the Company consider fit.</paratext>
                </para>
              </subclause2>
            </subclause1>
          </clause>
          <clause id="a609620">
            <identifier>8.</identifier>
            <head align="left" preservecase="true">
              <headtext>Filing</headtext>
            </head>
            <drafting.note id="a493974" jurisdiction="">
              <head align="left" preservecase="true">
                <headtext>Filing requirements</headtext>
              </head>
              <division id="a000022" level="1">
                <para>
                  <paratext>For further information on the filing requirements following the allotment and issue of shares, see Practice notes:</paratext>
                </para>
                <list type="bulleted">
                  <list.item>
                    <para>
                      <paratext>
                        <link href="5-422-4150#a390639" style="ACTLinkPLCtoPLC">
                          <ital>Allotment and issue of shares: Post-allotment filing requirements</ital>
                        </link>
                        .
                      </paratext>
                    </para>
                  </list.item>
                  <list.item>
                    <para>
                      <paratext>
                        <link href="9-203-0859#a347223" style="ACTLinkPLCtoPLC">
                          <ital>Written resolutions: Filing with Companies House</ital>
                        </link>
                        .
                      </paratext>
                    </para>
                  </list.item>
                  <list.item>
                    <para>
                      <paratext>
                        <link href="7-386-8848" style="ACTLinkPLCtoPLC">
                          <ital>Statement of capital</ital>
                        </link>
                        .
                      </paratext>
                    </para>
                  </list.item>
                  <list.item>
                    <para>
                      <paratext>
                        <link anchor="a944447" href="7-625-2125" style="ACTLinkPLCtoPLC">
                          <ital>PSC register: completing the register: Companies House filing obligations</ital>
                        </link>
                        <ital>.</ital>
                      </paratext>
                    </para>
                  </list.item>
                </list>
                <division id="a955469" level="2">
                  <head align="left" preservecase="true">
                    <headtext>Company secretary</headtext>
                  </head>
                  <para>
                    <paratext>
                      Private companies are not required to have a company secretary, although they may choose to do so (
                      <link href="6-505-5126" style="ACTLinkPLCtoPLC">
                        <ital>section 270(1)</ital>
                      </link>
                      <ital>, CA 2006</ital>
                      ). If the company does not have a company secretary, insert below the name of the person who has been given responsibility for performing the administrative functions that would otherwise be carried out by the company secretary.
                    </paratext>
                  </para>
                  <para>
                    <paratext>
                      For general information on the role of the company secretary, see 
                      <link href="6-384-9539" style="ACTLinkPLCtoPLC">
                        <ital>Practice note, Company secretary: appointment, role and responsibilities</ital>
                      </link>
                      .
                    </paratext>
                  </para>
                </division>
                <division id="a884116" level="2">
                  <head align="left" preservecase="true">
                    <headtext>Filing requirements where company has made a section 128B election: private companies</headtext>
                  </head>
                  <para>
                    <paratext>
                      This resolution is drafted on the assumption that the company has not made an election under 
                      <link href="3-621-8826" style="ACTLinkPLCtoPLC">
                        <ital>section 128B</ital>
                      </link>
                       of the CA 2006 to keep the information that must be entered in its register of members on a central register maintained by Companies House, and it therefore maintains its own register of members. However, if the company has made such an election, the duty to register the allotment imposed by section 554 of the CA 2006 becomes an obligation to deliver particulars of the allotment to the Registrar of Companies as soon as reasonably practicable and in any event, within the two month period during which the company would have been required to enter the information in its register of members had the election not been in place (
                      <link href="0-505-8825" style="ACTLinkPLCtoPLC">
                        <ital>section 554(2A)</ital>
                      </link>
                      <ital> and </ital>
                      <link href="9-621-8833" style="ACTLinkPLCtoPLC">
                        <ital>sections 128E(2) and (4)</ital>
                      </link>
                      <ital>, CA 2006</ital>
                      ). The requisite particulars must be provided on 
                      <link href="1-630-4245" style="ACTLinkPLCtoPLC">
                        <ital>Form EH06</ital>
                      </link>
                      .
                    </paratext>
                  </para>
                  <para>
                    <paratext>
                      For further information on electing to keep member information on the central register see, 
                      <link anchor="a117001" href="7-422-4823" style="ACTLinkPLCtoPLC">
                        <ital>Practice note, Register of members: Option to use a central register of members: private companies</ital>
                      </link>
                      <ital>.</ital>
                    </paratext>
                  </para>
                </division>
              </division>
            </drafting.note>
            <subclause1 id="a508396">
              <para>
                <paratext>
                  The chairperson instructed [the Company Secretary 
                  <bold>OR</bold>
                   [NAME]] to arrange for the following documents to be prepared and filed at Companies House:
                </paratext>
              </para>
            </subclause1>
            <subclause1 condition="optional" id="a775429">
              <identifier>8.1</identifier>
              <para>
                <paratext>A print of the Written Resolution.</paratext>
              </para>
              <drafting.note id="a174535" jurisdiction="">
                <head align="left" preservecase="true">
                  <headtext>Written resolution</headtext>
                </head>
                <division id="a000023" level="1">
                  <para>
                    <paratext>
                      For a skeleton print of a written resolution suitable for filing with Companies House, see 
                      <link href="8-380-9387" style="ACTLinkPLCtoPLC">
                        <ital>Standard document, Skeleton print of a resolution passed by way of written resolution under the Companies Act 2006</ital>
                      </link>
                      .
                    </paratext>
                  </para>
                </division>
              </drafting.note>
            </subclause1>
            <subclause1 condition="optional" id="a974329">
              <identifier>8.2</identifier>
              <para>
                <paratext>Form SH01 (return of allotments) in relation to the allotted and issued shares.</paratext>
              </para>
              <drafting.note id="a304885" jurisdiction="">
                <head align="left" preservecase="true">
                  <headtext>Return of allotments</headtext>
                </head>
                <division id="a000024" level="1">
                  <para>
                    <paratext>
                      For information on completing Form SH01, see 
                      <link anchor="a796184" href="5-422-4150" style="ACTLinkPLCtoPLC">
                        <ital>Practice note, Allotment and issue of shares: Completing the SH01 return of allotment and statement of capital</ital>
                      </link>
                      .
                    </paratext>
                  </para>
                  <para>
                    <paratext>
                      For a link to Form SH01, see 
                      <link href="2-422-1488" style="ACTLinkPLCtoPLC">
                        <ital>Form SH01 - Return of allotment of shares</ital>
                      </link>
                      .
                    </paratext>
                  </para>
                </division>
              </drafting.note>
            </subclause1>
            <subclause1 condition="optional" id="a382202">
              <identifier>8.3</identifier>
              <para>
                <paratext>
                  Form [PSC01 
                  <bold>OR</bold>
                   PSC02 
                  <bold>OR</bold>
                   PSC03 
                  <bold>OR</bold>
                   PSC04 
                  <bold>OR</bold>
                   PSC05 
                  <bold>OR</bold>
                   PSC06 
                  <bold>OR</bold>
                   PSC07 
                  <bold>OR</bold>
                   PSC08 
                  <bold>OR</bold>
                   PSC09] ([INSERT DESCRIPTION OF FORM]) in relation to the [SPECIFY CHANGE TO PSC REGISTER].
                </paratext>
              </para>
              <drafting.note id="a393930" jurisdiction="">
                <head align="left" preservecase="true">
                  <headtext>Notifying changes to PSC register</headtext>
                </head>
                <division id="a000025" level="1">
                  <para>
                    <paratext>
                      This filing will be necessary if the company is required to keep a PSC register and the allotment triggers an entry in or alteration to the company's PSC register (for further information, see 
                      <link anchor="a255827" href="5-422-4150" style="ACTLinkPLCtoPLC">
                        <ital>Practice note, Allotment and issue of shares: Updating the company's PSC register</ital>
                      </link>
                      ).
                    </paratext>
                  </para>
                  <para>
                    <paratext>
                      If the company has not made a central register election in respect of PSC information under 
                      <link href="9-621-8437" style="ACTLinkPLCtoPLC">
                        <ital>section 790X</ital>
                      </link>
                       of the CA 2006 (see 
                      <link anchor="a371872" href="7-625-2125" style="ACTLinkPLCtoPLC">
                        <ital>Practice note, PSC register: completing the register: Alternative method of keeping PSC information</ital>
                      </link>
                      ), the relevant form must be filed within 14 days after the company makes the change to its PSC register (
                      <link href="w-011-7366" style="ACTLinkPLCtoPLC">
                        <ital>section 790VA</ital>
                      </link>
                      <ital>, CA 2006</ital>
                      ).
                    </paratext>
                  </para>
                  <para>
                    <paratext>
                      If the company has a central register election in place, it must file the relevant form during the 14 day period within which companies that have not made such an election must enter PSC information in their own register (
                      <link href="6-621-8448" style="ACTLinkPLCtoPLC">
                        <ital>section 790ZA(3)</ital>
                      </link>
                      ).
                    </paratext>
                  </para>
                  <para>
                    <paratext>
                      For links to Forms PSC01 to PSC09, see 
                      <link href="w-035-1687" style="ACTLinkPLCtoPLC">
                        <ital>Companies House: Companies House forms for limited companies</ital>
                      </link>
                      .
                    </paratext>
                  </para>
                </division>
              </drafting.note>
            </subclause1>
          </clause>
          <clause id="a197094">
            <identifier>9.</identifier>
            <head align="left" preservecase="true">
              <headtext>Close</headtext>
            </head>
            <drafting.note id="a88083" jurisdiction="">
              <head align="left" preservecase="true">
                <headtext>Close</headtext>
              </head>
              <division id="a000026" level="1">
                <para>
                  <paratext>As a matter of good practice, the board minutes should record the closing of the meeting.</paratext>
                </para>
              </division>
            </drafting.note>
            <subclause1 id="a127765">
              <para>
                <paratext>There was no further business and the chairperson declared the meeting closed.</paratext>
              </para>
            </subclause1>
          </clause>
        </operative>
        <signature default="true" pagebreak="true" signaturemessage="no">
          <para>
            <paratext>
              <table frame="none" pgwide="1">
                <tgroup cols="1">
                  <colspec colname="1" colnum="1" colwidth="100"/>
                  <tbody>
                    <row>
                      <entry valign="top">
                        <para align="left">
                          <paratext>.....................</paratext>
                        </para>
                      </entry>
                    </row>
                    <row>
                      <entry valign="top">
                        <para align="left">
                          <paratext>Chairperson</paratext>
                        </para>
                      </entry>
                    </row>
                    <row>
                      <entry valign="top">
                        <para align="left">
                          <paratext>.....................</paratext>
                        </para>
                      </entry>
                    </row>
                    <row>
                      <entry valign="top">
                        <para align="left">
                          <paratext>(Date)</paratext>
                        </para>
                      </entry>
                    </row>
                  </tbody>
                </tgroup>
              </table>
            </paratext>
          </para>
        </signature>
      </body>
      <rev.history>
        <rev.item>
          <rev.title>General review of standard document</rev.title>
          <rev.date>20210603</rev.date>
          <rev.author>Practical Law Corporate</rev.author>
          <rev.body>
            <division id="a000001" level="1">
              <para>
                <paratext>
                  Following a general review of this standard document, we have minor amendments and expanded, in particular, the 
                  <internal.reference refid="a1034753">Drafting note, Duty to promote the success of the company: section 172, CA 2006</internal.reference>
                   and 
                  <internal.reference refid="a490975">Drafting note, Registering the allotment</internal.reference>
                  .
                </paratext>
              </para>
            </division>
          </rev.body>
        </rev.item>
        <rev.item>
          <rev.title>The Information about People with Significant Control (Amendment) Regulations 2017.</rev.title>
          <rev.date>20170825</rev.date>
          <rev.author>Practical Law Corporate</rev.author>
          <rev.body>
            <division id="a000002" level="1">
              <para>
                <paratext>We have updated this resource to reflect changes to the PSC regime made by the Information about People with Significant Control (Amendment) Regulations 2017.</paratext>
              </para>
            </division>
          </rev.body>
        </rev.item>
      </rev.history>
    </standard.doc>
  </n-docbody>
</n-document>
</file>

<file path=customXml/item3.xml><?xml version="1.0" encoding="utf-8"?>
<cdm:cachedDataManifest xmlns:cdm="http://schemas.microsoft.com/2004/VisualStudio/Tools/Applications/CachedDataManifest.xsd" cdm:revision="1"/>
</file>

<file path=customXml/item4.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5.xml><?xml version="1.0" encoding="utf-8"?>
<properties xmlns="http://www.imanage.com/work/xmlschema">
  <documentid>Documents!60727605.1</documentid>
  <senderid>JE3</senderid>
  <senderemail>JAY.ENG@FOOTANSTEY.COM</senderemail>
  <lastmodified>2025-04-03T15:11:00.0000000+01:00</lastmodified>
  <database>Documents</database>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2.xml><?xml version="1.0" encoding="utf-8"?>
<ds:datastoreItem xmlns:ds="http://schemas.openxmlformats.org/officeDocument/2006/customXml" ds:itemID="{741F77EE-6420-4997-A1D7-13DADBC1BA56}">
  <ds:schemaRefs>
    <ds:schemaRef ds:uri="http://www.w3.org/2001/XMLSchema"/>
  </ds:schemaRefs>
</ds:datastoreItem>
</file>

<file path=customXml/itemProps3.xml><?xml version="1.0" encoding="utf-8"?>
<ds:datastoreItem xmlns:ds="http://schemas.openxmlformats.org/officeDocument/2006/customXml" ds:itemID="{A2DC01D0-0D15-41DA-BEE5-B0F5E8C7F460}">
  <ds:schemaRefs/>
</ds:datastoreItem>
</file>

<file path=customXml/itemProps4.xml><?xml version="1.0" encoding="utf-8"?>
<ds:datastoreItem xmlns:ds="http://schemas.openxmlformats.org/officeDocument/2006/customXml" ds:itemID="{3BA3F53A-0659-4088-BFF7-066D1ED7DB0F}">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5.xml><?xml version="1.0" encoding="utf-8"?>
<ds:datastoreItem xmlns:ds="http://schemas.openxmlformats.org/officeDocument/2006/customXml" ds:itemID="{E9722007-1870-4E6A-B0D6-EC8016224CCD}"/>
</file>

<file path=customXml/itemProps6.xml><?xml version="1.0" encoding="utf-8"?>
<ds:datastoreItem xmlns:ds="http://schemas.openxmlformats.org/officeDocument/2006/customXml" ds:itemID="{88C04E57-B726-4451-A4D5-8FB5D27E30F3}"/>
</file>

<file path=customXml/itemProps7.xml><?xml version="1.0" encoding="utf-8"?>
<ds:datastoreItem xmlns:ds="http://schemas.openxmlformats.org/officeDocument/2006/customXml" ds:itemID="{8B8B5B7F-E06F-45DF-A0BF-7C12E7B36431}"/>
</file>

<file path=customXml/itemProps8.xml><?xml version="1.0" encoding="utf-8"?>
<ds:datastoreItem xmlns:ds="http://schemas.openxmlformats.org/officeDocument/2006/customXml" ds:itemID="{F6217A2B-5F91-44C3-8EDC-82F7B7AA7909}"/>
</file>

<file path=docProps/app.xml><?xml version="1.0" encoding="utf-8"?>
<Properties xmlns="http://schemas.openxmlformats.org/officeDocument/2006/extended-properties" xmlns:vt="http://schemas.openxmlformats.org/officeDocument/2006/docPropsVTypes">
  <Template>Normal</Template>
  <TotalTime>28</TotalTime>
  <Pages>5</Pages>
  <Words>1447</Words>
  <Characters>7368</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Foot Anstey (JE3)</cp:lastModifiedBy>
  <cp:revision>20</cp:revision>
  <dcterms:created xsi:type="dcterms:W3CDTF">2025-03-31T20:43:00Z</dcterms:created>
  <dcterms:modified xsi:type="dcterms:W3CDTF">2025-04-03T14:11:00Z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#60727605 v1</vt:lpwstr>
  </property>
  <property fmtid="{D5CDD505-2E9C-101B-9397-08002B2CF9AE}" pid="3" name="ContentTypeId">
    <vt:lpwstr>0x010100F790A929052E754EB59DEE571327065E</vt:lpwstr>
  </property>
</Properties>
</file>